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B830" w14:textId="77777777" w:rsidR="008D0AC4" w:rsidRDefault="008D0AC4"/>
    <w:p w14:paraId="49E2961C" w14:textId="6892B836" w:rsidR="00A54666" w:rsidRDefault="00A54666" w:rsidP="00A54666">
      <w:pPr>
        <w:pStyle w:val="2"/>
        <w:adjustRightInd w:val="0"/>
        <w:spacing w:beforeLines="50" w:before="156" w:afterLines="50" w:after="156" w:line="440" w:lineRule="exact"/>
        <w:jc w:val="center"/>
        <w:rPr>
          <w:rFonts w:ascii="黑体" w:eastAsia="黑体" w:hAnsi="Times New Roman" w:cs="Times New Roman"/>
          <w:bCs/>
          <w:color w:val="auto"/>
          <w:sz w:val="44"/>
          <w:szCs w:val="44"/>
        </w:rPr>
      </w:pPr>
      <w:r w:rsidRPr="00A54666">
        <w:rPr>
          <w:rFonts w:ascii="黑体" w:eastAsia="黑体" w:hAnsi="Times New Roman" w:cs="Times New Roman"/>
          <w:bCs/>
          <w:color w:val="auto"/>
          <w:sz w:val="44"/>
          <w:szCs w:val="44"/>
        </w:rPr>
        <w:t>英国债券市场增信体系研究</w:t>
      </w:r>
    </w:p>
    <w:p w14:paraId="52465330" w14:textId="77777777" w:rsidR="00A54666" w:rsidRPr="00A54666" w:rsidRDefault="00A54666" w:rsidP="00A54666">
      <w:pPr>
        <w:rPr>
          <w:rFonts w:hint="eastAsia"/>
        </w:rPr>
      </w:pPr>
    </w:p>
    <w:p w14:paraId="22B108F7" w14:textId="0AE07E6A" w:rsidR="00A54666" w:rsidRPr="00800D22" w:rsidRDefault="00A54666" w:rsidP="00A54666">
      <w:pPr>
        <w:pStyle w:val="3"/>
        <w:adjustRightInd w:val="0"/>
        <w:spacing w:beforeLines="50" w:before="156" w:afterLines="50" w:after="156" w:line="440" w:lineRule="exact"/>
        <w:jc w:val="left"/>
        <w:rPr>
          <w:rFonts w:ascii="黑体" w:eastAsia="黑体"/>
          <w:b/>
          <w:sz w:val="28"/>
          <w:szCs w:val="28"/>
        </w:rPr>
      </w:pPr>
      <w:bookmarkStart w:id="0" w:name="_Toc238267508"/>
      <w:bookmarkStart w:id="1" w:name="_Toc238701439"/>
      <w:bookmarkStart w:id="2" w:name="_Toc239689215"/>
      <w:bookmarkStart w:id="3" w:name="_Toc247869834"/>
      <w:bookmarkStart w:id="4" w:name="_Toc256506269"/>
      <w:r>
        <w:rPr>
          <w:rFonts w:ascii="黑体" w:eastAsia="黑体" w:hint="eastAsia"/>
          <w:b/>
          <w:sz w:val="28"/>
          <w:szCs w:val="28"/>
        </w:rPr>
        <w:t>一、</w:t>
      </w:r>
      <w:r w:rsidRPr="00800D22">
        <w:rPr>
          <w:rFonts w:ascii="黑体" w:eastAsia="黑体"/>
          <w:b/>
          <w:sz w:val="28"/>
          <w:szCs w:val="28"/>
        </w:rPr>
        <w:t>英国债券市场发展及现状</w:t>
      </w:r>
      <w:bookmarkEnd w:id="0"/>
      <w:bookmarkEnd w:id="1"/>
      <w:bookmarkEnd w:id="2"/>
      <w:bookmarkEnd w:id="3"/>
      <w:bookmarkEnd w:id="4"/>
    </w:p>
    <w:p w14:paraId="7CB1A0B4" w14:textId="77777777" w:rsidR="00A54666" w:rsidRPr="00800D22" w:rsidRDefault="00A54666" w:rsidP="00A54666">
      <w:pPr>
        <w:spacing w:line="440" w:lineRule="exact"/>
        <w:ind w:firstLineChars="200" w:firstLine="480"/>
        <w:rPr>
          <w:kern w:val="0"/>
          <w:sz w:val="24"/>
        </w:rPr>
      </w:pPr>
      <w:r w:rsidRPr="00800D22">
        <w:rPr>
          <w:kern w:val="0"/>
          <w:sz w:val="24"/>
        </w:rPr>
        <w:t>相比于美国债券市场，英国债券市场规模偏小，截至</w:t>
      </w:r>
      <w:r w:rsidRPr="00800D22">
        <w:rPr>
          <w:kern w:val="0"/>
          <w:sz w:val="24"/>
        </w:rPr>
        <w:t>2008</w:t>
      </w:r>
      <w:r w:rsidRPr="00800D22">
        <w:rPr>
          <w:kern w:val="0"/>
          <w:sz w:val="24"/>
        </w:rPr>
        <w:t>年末，英国债券市场余额（不含证券化产品）为</w:t>
      </w:r>
      <w:r w:rsidRPr="00800D22">
        <w:rPr>
          <w:kern w:val="0"/>
          <w:sz w:val="24"/>
        </w:rPr>
        <w:t>1.22</w:t>
      </w:r>
      <w:proofErr w:type="gramStart"/>
      <w:r w:rsidRPr="00800D22">
        <w:rPr>
          <w:kern w:val="0"/>
          <w:sz w:val="24"/>
        </w:rPr>
        <w:t>万亿</w:t>
      </w:r>
      <w:proofErr w:type="gramEnd"/>
      <w:r w:rsidRPr="00800D22">
        <w:rPr>
          <w:kern w:val="0"/>
          <w:sz w:val="24"/>
        </w:rPr>
        <w:t>美元，仅为美国债券市场余额的二十分之一。与美国一样，债券交易主要以场外市场为主。从债券品种来看，英国债券市场以政府债券（金边债券）和金融机构债券为主，而公司债券占比很小</w:t>
      </w:r>
      <w:r w:rsidRPr="00800D22">
        <w:rPr>
          <w:rFonts w:hint="eastAsia"/>
          <w:kern w:val="0"/>
          <w:sz w:val="24"/>
        </w:rPr>
        <w:t>。</w:t>
      </w:r>
      <w:r w:rsidRPr="00800D22">
        <w:rPr>
          <w:kern w:val="0"/>
          <w:sz w:val="24"/>
        </w:rPr>
        <w:t>根据</w:t>
      </w:r>
      <w:r w:rsidRPr="00800D22">
        <w:rPr>
          <w:kern w:val="0"/>
          <w:sz w:val="24"/>
        </w:rPr>
        <w:t>BIS</w:t>
      </w:r>
      <w:r w:rsidRPr="00800D22">
        <w:rPr>
          <w:kern w:val="0"/>
          <w:sz w:val="24"/>
        </w:rPr>
        <w:t>（</w:t>
      </w:r>
      <w:r w:rsidRPr="00800D22">
        <w:rPr>
          <w:rStyle w:val="af2"/>
          <w:b w:val="0"/>
          <w:bCs w:val="0"/>
          <w:sz w:val="24"/>
        </w:rPr>
        <w:t>The Bank for International Settlements</w:t>
      </w:r>
      <w:r w:rsidRPr="00800D22">
        <w:rPr>
          <w:kern w:val="0"/>
          <w:sz w:val="24"/>
        </w:rPr>
        <w:t>）的统计，</w:t>
      </w:r>
      <w:r w:rsidRPr="00800D22">
        <w:rPr>
          <w:kern w:val="0"/>
          <w:sz w:val="24"/>
        </w:rPr>
        <w:t>2008</w:t>
      </w:r>
      <w:r w:rsidRPr="00800D22">
        <w:rPr>
          <w:kern w:val="0"/>
          <w:sz w:val="24"/>
        </w:rPr>
        <w:t>年末</w:t>
      </w:r>
      <w:r w:rsidRPr="00800D22">
        <w:rPr>
          <w:rFonts w:hint="eastAsia"/>
          <w:kern w:val="0"/>
          <w:sz w:val="24"/>
        </w:rPr>
        <w:t>政府债券和金融机构债券</w:t>
      </w:r>
      <w:r w:rsidRPr="00800D22">
        <w:rPr>
          <w:kern w:val="0"/>
          <w:sz w:val="24"/>
        </w:rPr>
        <w:t>分别达到</w:t>
      </w:r>
      <w:r w:rsidRPr="00800D22">
        <w:rPr>
          <w:kern w:val="0"/>
          <w:sz w:val="24"/>
        </w:rPr>
        <w:t>8,266</w:t>
      </w:r>
      <w:r w:rsidRPr="00800D22">
        <w:rPr>
          <w:kern w:val="0"/>
          <w:sz w:val="24"/>
        </w:rPr>
        <w:t>亿美元和</w:t>
      </w:r>
      <w:r w:rsidRPr="00800D22">
        <w:rPr>
          <w:kern w:val="0"/>
          <w:sz w:val="24"/>
        </w:rPr>
        <w:t>3,778</w:t>
      </w:r>
      <w:r w:rsidRPr="00800D22">
        <w:rPr>
          <w:kern w:val="0"/>
          <w:sz w:val="24"/>
        </w:rPr>
        <w:t>亿美元，占债券市场比重分别为</w:t>
      </w:r>
      <w:r w:rsidRPr="00800D22">
        <w:rPr>
          <w:kern w:val="0"/>
          <w:sz w:val="24"/>
        </w:rPr>
        <w:t>67.58%</w:t>
      </w:r>
      <w:r w:rsidRPr="00800D22">
        <w:rPr>
          <w:kern w:val="0"/>
          <w:sz w:val="24"/>
        </w:rPr>
        <w:t>和</w:t>
      </w:r>
      <w:r w:rsidRPr="00800D22">
        <w:rPr>
          <w:kern w:val="0"/>
          <w:sz w:val="24"/>
        </w:rPr>
        <w:t>30.8</w:t>
      </w:r>
      <w:r w:rsidRPr="00800D22">
        <w:rPr>
          <w:rFonts w:hint="eastAsia"/>
          <w:kern w:val="0"/>
          <w:sz w:val="24"/>
        </w:rPr>
        <w:t>8</w:t>
      </w:r>
      <w:r w:rsidRPr="00800D22">
        <w:rPr>
          <w:kern w:val="0"/>
          <w:sz w:val="24"/>
        </w:rPr>
        <w:t>%</w:t>
      </w:r>
      <w:r w:rsidRPr="00800D22">
        <w:rPr>
          <w:kern w:val="0"/>
          <w:sz w:val="24"/>
        </w:rPr>
        <w:t>；截至</w:t>
      </w:r>
      <w:r w:rsidRPr="00800D22">
        <w:rPr>
          <w:kern w:val="0"/>
          <w:sz w:val="24"/>
        </w:rPr>
        <w:t>2008</w:t>
      </w:r>
      <w:r w:rsidRPr="00800D22">
        <w:rPr>
          <w:kern w:val="0"/>
          <w:sz w:val="24"/>
        </w:rPr>
        <w:t>年末，该比例仅为</w:t>
      </w:r>
      <w:r w:rsidRPr="00800D22">
        <w:rPr>
          <w:kern w:val="0"/>
          <w:sz w:val="24"/>
        </w:rPr>
        <w:t>1.54%</w:t>
      </w:r>
      <w:r w:rsidRPr="00800D22">
        <w:rPr>
          <w:kern w:val="0"/>
          <w:sz w:val="24"/>
        </w:rPr>
        <w:t>，远低于美国。英国债券市场余额与</w:t>
      </w:r>
      <w:r w:rsidRPr="00800D22">
        <w:rPr>
          <w:kern w:val="0"/>
          <w:sz w:val="24"/>
        </w:rPr>
        <w:t>GDP</w:t>
      </w:r>
      <w:r w:rsidRPr="00800D22">
        <w:rPr>
          <w:kern w:val="0"/>
          <w:sz w:val="24"/>
        </w:rPr>
        <w:t>的比值较低，一直在</w:t>
      </w:r>
      <w:r w:rsidRPr="00800D22">
        <w:rPr>
          <w:kern w:val="0"/>
          <w:sz w:val="24"/>
        </w:rPr>
        <w:t>50%</w:t>
      </w:r>
      <w:r w:rsidRPr="00800D22">
        <w:rPr>
          <w:kern w:val="0"/>
          <w:sz w:val="24"/>
        </w:rPr>
        <w:t>左右。</w:t>
      </w:r>
    </w:p>
    <w:p w14:paraId="456F0357" w14:textId="77777777" w:rsidR="00A54666" w:rsidRPr="00800D22" w:rsidRDefault="00A54666" w:rsidP="00A54666">
      <w:pPr>
        <w:spacing w:afterLines="50" w:after="156" w:line="440" w:lineRule="exact"/>
        <w:ind w:firstLineChars="200" w:firstLine="480"/>
        <w:rPr>
          <w:rFonts w:eastAsia="新宋体"/>
          <w:kern w:val="0"/>
          <w:sz w:val="24"/>
        </w:rPr>
      </w:pPr>
      <w:r w:rsidRPr="00800D22">
        <w:rPr>
          <w:rFonts w:eastAsia="新宋体" w:hint="eastAsia"/>
          <w:kern w:val="0"/>
          <w:sz w:val="24"/>
        </w:rPr>
        <w:t>资产</w:t>
      </w:r>
      <w:r w:rsidRPr="00800D22">
        <w:rPr>
          <w:rFonts w:eastAsia="新宋体"/>
          <w:kern w:val="0"/>
          <w:sz w:val="24"/>
        </w:rPr>
        <w:t>证券化方面，英国一直扮演欧洲的主力市场</w:t>
      </w:r>
      <w:r w:rsidRPr="00800D22">
        <w:rPr>
          <w:rFonts w:eastAsia="新宋体" w:hint="eastAsia"/>
          <w:kern w:val="0"/>
          <w:sz w:val="24"/>
        </w:rPr>
        <w:t>。</w:t>
      </w:r>
      <w:r w:rsidRPr="00800D22">
        <w:rPr>
          <w:rFonts w:eastAsia="新宋体"/>
          <w:kern w:val="0"/>
          <w:sz w:val="24"/>
        </w:rPr>
        <w:t>近年来，英国的</w:t>
      </w:r>
      <w:r w:rsidRPr="00800D22">
        <w:rPr>
          <w:rFonts w:eastAsia="新宋体" w:hint="eastAsia"/>
          <w:kern w:val="0"/>
          <w:sz w:val="24"/>
        </w:rPr>
        <w:t>资产</w:t>
      </w:r>
      <w:r w:rsidRPr="00800D22">
        <w:rPr>
          <w:rFonts w:eastAsia="新宋体"/>
          <w:kern w:val="0"/>
          <w:sz w:val="24"/>
        </w:rPr>
        <w:t>证券化发展更为迅速，</w:t>
      </w:r>
      <w:r w:rsidRPr="00800D22">
        <w:rPr>
          <w:rFonts w:eastAsia="新宋体" w:hint="eastAsia"/>
          <w:kern w:val="0"/>
          <w:sz w:val="24"/>
        </w:rPr>
        <w:t>根据</w:t>
      </w:r>
      <w:r w:rsidRPr="00800D22">
        <w:rPr>
          <w:rFonts w:eastAsia="新宋体" w:hint="eastAsia"/>
          <w:kern w:val="0"/>
          <w:sz w:val="24"/>
        </w:rPr>
        <w:t>SIFMA</w:t>
      </w:r>
      <w:r w:rsidRPr="00800D22">
        <w:rPr>
          <w:rFonts w:eastAsia="新宋体" w:hint="eastAsia"/>
          <w:kern w:val="0"/>
          <w:sz w:val="24"/>
        </w:rPr>
        <w:t>（</w:t>
      </w:r>
      <w:r w:rsidRPr="00800D22">
        <w:rPr>
          <w:rFonts w:eastAsia="新宋体" w:hint="eastAsia"/>
          <w:kern w:val="0"/>
          <w:sz w:val="24"/>
        </w:rPr>
        <w:t>Securities Industry and Financial Markets Association</w:t>
      </w:r>
      <w:r w:rsidRPr="00800D22">
        <w:rPr>
          <w:rFonts w:eastAsia="新宋体" w:hint="eastAsia"/>
          <w:kern w:val="0"/>
          <w:sz w:val="24"/>
        </w:rPr>
        <w:t>）的统计数据，截至</w:t>
      </w:r>
      <w:r w:rsidRPr="00800D22">
        <w:rPr>
          <w:rFonts w:eastAsia="新宋体" w:hint="eastAsia"/>
          <w:kern w:val="0"/>
          <w:sz w:val="24"/>
        </w:rPr>
        <w:t>2008</w:t>
      </w:r>
      <w:r w:rsidRPr="00800D22">
        <w:rPr>
          <w:rFonts w:eastAsia="新宋体" w:hint="eastAsia"/>
          <w:kern w:val="0"/>
          <w:sz w:val="24"/>
        </w:rPr>
        <w:t>年末，英国</w:t>
      </w:r>
      <w:r w:rsidRPr="00800D22">
        <w:rPr>
          <w:rFonts w:eastAsia="新宋体"/>
          <w:kern w:val="0"/>
          <w:sz w:val="24"/>
        </w:rPr>
        <w:t>证券化</w:t>
      </w:r>
      <w:r w:rsidRPr="00800D22">
        <w:rPr>
          <w:rFonts w:eastAsia="新宋体" w:hint="eastAsia"/>
          <w:kern w:val="0"/>
          <w:sz w:val="24"/>
        </w:rPr>
        <w:t>产品余额</w:t>
      </w:r>
      <w:r w:rsidRPr="00800D22">
        <w:rPr>
          <w:rFonts w:eastAsia="新宋体"/>
          <w:kern w:val="0"/>
          <w:sz w:val="24"/>
        </w:rPr>
        <w:t>占</w:t>
      </w:r>
      <w:r w:rsidRPr="00800D22">
        <w:rPr>
          <w:rFonts w:eastAsia="新宋体" w:hint="eastAsia"/>
          <w:kern w:val="0"/>
          <w:sz w:val="24"/>
        </w:rPr>
        <w:t>到</w:t>
      </w:r>
      <w:r w:rsidRPr="00800D22">
        <w:rPr>
          <w:rFonts w:eastAsia="新宋体"/>
          <w:kern w:val="0"/>
          <w:sz w:val="24"/>
        </w:rPr>
        <w:t>整个</w:t>
      </w:r>
      <w:r w:rsidRPr="00800D22">
        <w:rPr>
          <w:rFonts w:eastAsia="新宋体" w:hint="eastAsia"/>
          <w:kern w:val="0"/>
          <w:sz w:val="24"/>
        </w:rPr>
        <w:t>欧洲</w:t>
      </w:r>
      <w:r w:rsidRPr="00800D22">
        <w:rPr>
          <w:rFonts w:eastAsia="新宋体"/>
          <w:kern w:val="0"/>
          <w:sz w:val="24"/>
        </w:rPr>
        <w:t>市场的</w:t>
      </w:r>
      <w:r w:rsidRPr="00800D22">
        <w:rPr>
          <w:rFonts w:eastAsia="新宋体"/>
          <w:kern w:val="0"/>
          <w:sz w:val="24"/>
        </w:rPr>
        <w:t>3</w:t>
      </w:r>
      <w:r w:rsidRPr="00800D22">
        <w:rPr>
          <w:rFonts w:eastAsia="新宋体" w:hint="eastAsia"/>
          <w:kern w:val="0"/>
          <w:sz w:val="24"/>
        </w:rPr>
        <w:t>5.42</w:t>
      </w:r>
      <w:r w:rsidRPr="00800D22">
        <w:rPr>
          <w:rFonts w:eastAsia="新宋体"/>
          <w:kern w:val="0"/>
          <w:sz w:val="24"/>
        </w:rPr>
        <w:t>%</w:t>
      </w:r>
      <w:r w:rsidRPr="00800D22">
        <w:rPr>
          <w:rFonts w:eastAsia="新宋体"/>
          <w:kern w:val="0"/>
          <w:sz w:val="24"/>
        </w:rPr>
        <w:t>。在需求大增的强力拉动下，一些</w:t>
      </w:r>
      <w:r w:rsidRPr="00800D22">
        <w:rPr>
          <w:rFonts w:eastAsia="新宋体" w:hint="eastAsia"/>
          <w:kern w:val="0"/>
          <w:sz w:val="24"/>
        </w:rPr>
        <w:t>信用等级</w:t>
      </w:r>
      <w:r w:rsidRPr="00800D22">
        <w:rPr>
          <w:rFonts w:eastAsia="新宋体"/>
          <w:kern w:val="0"/>
          <w:sz w:val="24"/>
        </w:rPr>
        <w:t>较</w:t>
      </w:r>
      <w:r w:rsidRPr="00800D22">
        <w:rPr>
          <w:rFonts w:eastAsia="新宋体" w:hint="eastAsia"/>
          <w:kern w:val="0"/>
          <w:sz w:val="24"/>
        </w:rPr>
        <w:t>低</w:t>
      </w:r>
      <w:r w:rsidRPr="00800D22">
        <w:rPr>
          <w:rFonts w:eastAsia="新宋体"/>
          <w:kern w:val="0"/>
          <w:sz w:val="24"/>
        </w:rPr>
        <w:t>者，如夹层（</w:t>
      </w:r>
      <w:r w:rsidRPr="00800D22">
        <w:rPr>
          <w:rFonts w:eastAsia="新宋体" w:hint="eastAsia"/>
          <w:kern w:val="0"/>
          <w:sz w:val="24"/>
        </w:rPr>
        <w:t>M</w:t>
      </w:r>
      <w:r w:rsidRPr="00800D22">
        <w:rPr>
          <w:rFonts w:eastAsia="新宋体"/>
          <w:kern w:val="0"/>
          <w:sz w:val="24"/>
        </w:rPr>
        <w:t>ezzanine</w:t>
      </w:r>
      <w:r w:rsidRPr="00800D22">
        <w:rPr>
          <w:rFonts w:eastAsia="新宋体"/>
          <w:kern w:val="0"/>
          <w:sz w:val="24"/>
        </w:rPr>
        <w:t>）与次顺位（</w:t>
      </w:r>
      <w:r w:rsidRPr="00800D22">
        <w:rPr>
          <w:rFonts w:eastAsia="新宋体" w:hint="eastAsia"/>
          <w:kern w:val="0"/>
          <w:sz w:val="24"/>
        </w:rPr>
        <w:t>S</w:t>
      </w:r>
      <w:r w:rsidRPr="00800D22">
        <w:rPr>
          <w:rFonts w:eastAsia="新宋体"/>
          <w:kern w:val="0"/>
          <w:sz w:val="24"/>
        </w:rPr>
        <w:t>ubordinate</w:t>
      </w:r>
      <w:r w:rsidRPr="00800D22">
        <w:rPr>
          <w:rFonts w:eastAsia="新宋体"/>
          <w:kern w:val="0"/>
          <w:sz w:val="24"/>
        </w:rPr>
        <w:t>）的</w:t>
      </w:r>
      <w:r w:rsidRPr="00800D22">
        <w:rPr>
          <w:rFonts w:eastAsia="新宋体"/>
          <w:kern w:val="0"/>
          <w:sz w:val="24"/>
        </w:rPr>
        <w:t>ABS</w:t>
      </w:r>
      <w:r w:rsidRPr="00800D22">
        <w:rPr>
          <w:rFonts w:eastAsia="新宋体"/>
          <w:kern w:val="0"/>
          <w:sz w:val="24"/>
        </w:rPr>
        <w:t>产品也渐受青睐。部分追求高收益率者更开始投资商用不动产贷款抵押证券（</w:t>
      </w:r>
      <w:r w:rsidRPr="00800D22">
        <w:rPr>
          <w:rFonts w:eastAsia="新宋体"/>
          <w:kern w:val="0"/>
          <w:sz w:val="24"/>
        </w:rPr>
        <w:t>Commercial Mortgage Backed Security, CMBS</w:t>
      </w:r>
      <w:r w:rsidRPr="00800D22">
        <w:rPr>
          <w:rFonts w:eastAsia="新宋体"/>
          <w:kern w:val="0"/>
          <w:sz w:val="24"/>
        </w:rPr>
        <w:t>）或抵押债务债券</w:t>
      </w:r>
      <w:r w:rsidRPr="00800D22">
        <w:rPr>
          <w:rFonts w:eastAsia="新宋体"/>
          <w:kern w:val="0"/>
          <w:sz w:val="24"/>
        </w:rPr>
        <w:t>(Collateralized Debt Obligations, CDOs)</w:t>
      </w:r>
      <w:r w:rsidRPr="00800D22">
        <w:rPr>
          <w:rFonts w:eastAsia="新宋体"/>
          <w:kern w:val="0"/>
          <w:sz w:val="24"/>
        </w:rPr>
        <w:t>。截至</w:t>
      </w:r>
      <w:r w:rsidRPr="00800D22">
        <w:rPr>
          <w:rFonts w:eastAsia="新宋体"/>
          <w:kern w:val="0"/>
          <w:sz w:val="24"/>
        </w:rPr>
        <w:t>2008</w:t>
      </w:r>
      <w:r w:rsidRPr="00800D22">
        <w:rPr>
          <w:rFonts w:eastAsia="新宋体"/>
          <w:kern w:val="0"/>
          <w:sz w:val="24"/>
        </w:rPr>
        <w:t>年末，英国抵押支持证券和资产支持证券余额分别达到</w:t>
      </w:r>
      <w:r w:rsidRPr="00800D22">
        <w:rPr>
          <w:rFonts w:eastAsia="新宋体" w:hint="eastAsia"/>
          <w:kern w:val="0"/>
          <w:sz w:val="24"/>
        </w:rPr>
        <w:t>7</w:t>
      </w:r>
      <w:r w:rsidRPr="00800D22">
        <w:rPr>
          <w:rFonts w:eastAsia="新宋体"/>
          <w:kern w:val="0"/>
          <w:sz w:val="24"/>
        </w:rPr>
        <w:t>,</w:t>
      </w:r>
      <w:r w:rsidRPr="00800D22">
        <w:rPr>
          <w:rFonts w:eastAsia="新宋体" w:hint="eastAsia"/>
          <w:kern w:val="0"/>
          <w:sz w:val="24"/>
        </w:rPr>
        <w:t>471</w:t>
      </w:r>
      <w:r w:rsidRPr="00800D22">
        <w:rPr>
          <w:rFonts w:eastAsia="新宋体"/>
          <w:kern w:val="0"/>
          <w:sz w:val="24"/>
        </w:rPr>
        <w:t>亿美元和</w:t>
      </w:r>
      <w:r w:rsidRPr="00800D22">
        <w:rPr>
          <w:rFonts w:eastAsia="新宋体" w:hint="eastAsia"/>
          <w:kern w:val="0"/>
          <w:sz w:val="24"/>
        </w:rPr>
        <w:t>637</w:t>
      </w:r>
      <w:r w:rsidRPr="00800D22">
        <w:rPr>
          <w:rFonts w:eastAsia="新宋体"/>
          <w:kern w:val="0"/>
          <w:sz w:val="24"/>
        </w:rPr>
        <w:t>亿美元。</w:t>
      </w:r>
    </w:p>
    <w:p w14:paraId="4EDFF473" w14:textId="4BDED515" w:rsidR="00A54666" w:rsidRPr="00800D22" w:rsidRDefault="00A54666" w:rsidP="00A54666">
      <w:pPr>
        <w:rPr>
          <w:kern w:val="0"/>
          <w:sz w:val="24"/>
        </w:rPr>
      </w:pPr>
      <w:r w:rsidRPr="00800D22">
        <w:rPr>
          <w:noProof/>
        </w:rPr>
        <w:drawing>
          <wp:inline distT="0" distB="0" distL="0" distR="0" wp14:anchorId="15978F98" wp14:editId="26E8CBCA">
            <wp:extent cx="5270500" cy="2552700"/>
            <wp:effectExtent l="0" t="0" r="0" b="0"/>
            <wp:docPr id="106270170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2552700"/>
                    </a:xfrm>
                    <a:prstGeom prst="rect">
                      <a:avLst/>
                    </a:prstGeom>
                    <a:noFill/>
                    <a:ln>
                      <a:noFill/>
                    </a:ln>
                  </pic:spPr>
                </pic:pic>
              </a:graphicData>
            </a:graphic>
          </wp:inline>
        </w:drawing>
      </w:r>
    </w:p>
    <w:p w14:paraId="00B1C370" w14:textId="77777777" w:rsidR="00A54666" w:rsidRPr="00800D22" w:rsidRDefault="00A54666" w:rsidP="00A54666">
      <w:pPr>
        <w:keepNext/>
        <w:jc w:val="center"/>
        <w:rPr>
          <w:rFonts w:eastAsia="新宋体" w:hint="eastAsia"/>
          <w:szCs w:val="21"/>
        </w:rPr>
      </w:pPr>
      <w:bookmarkStart w:id="5" w:name="_Toc256507089"/>
      <w:r w:rsidRPr="00800D22">
        <w:rPr>
          <w:rFonts w:eastAsia="新宋体" w:hint="eastAsia"/>
          <w:kern w:val="0"/>
          <w:szCs w:val="21"/>
        </w:rPr>
        <w:lastRenderedPageBreak/>
        <w:t>图</w:t>
      </w:r>
      <w:r w:rsidRPr="00800D22">
        <w:rPr>
          <w:rFonts w:eastAsia="新宋体" w:hint="eastAsia"/>
          <w:kern w:val="0"/>
          <w:szCs w:val="21"/>
        </w:rPr>
        <w:t>5.</w:t>
      </w:r>
      <w:r w:rsidRPr="00800D22">
        <w:rPr>
          <w:rFonts w:eastAsia="新宋体"/>
          <w:kern w:val="0"/>
          <w:szCs w:val="21"/>
        </w:rPr>
        <w:fldChar w:fldCharType="begin"/>
      </w:r>
      <w:r w:rsidRPr="00800D22">
        <w:rPr>
          <w:rFonts w:eastAsia="新宋体"/>
          <w:kern w:val="0"/>
          <w:szCs w:val="21"/>
        </w:rPr>
        <w:instrText xml:space="preserve"> </w:instrText>
      </w:r>
      <w:r w:rsidRPr="00800D22">
        <w:rPr>
          <w:rFonts w:eastAsia="新宋体" w:hint="eastAsia"/>
          <w:kern w:val="0"/>
          <w:szCs w:val="21"/>
        </w:rPr>
        <w:instrText xml:space="preserve">SEQ </w:instrText>
      </w:r>
      <w:r w:rsidRPr="00800D22">
        <w:rPr>
          <w:rFonts w:eastAsia="新宋体" w:hint="eastAsia"/>
          <w:kern w:val="0"/>
          <w:szCs w:val="21"/>
        </w:rPr>
        <w:instrText>图</w:instrText>
      </w:r>
      <w:r w:rsidRPr="00800D22">
        <w:rPr>
          <w:rFonts w:eastAsia="新宋体" w:hint="eastAsia"/>
          <w:kern w:val="0"/>
          <w:szCs w:val="21"/>
        </w:rPr>
        <w:instrText>5. \* ARABIC</w:instrText>
      </w:r>
      <w:r w:rsidRPr="00800D22">
        <w:rPr>
          <w:rFonts w:eastAsia="新宋体"/>
          <w:kern w:val="0"/>
          <w:szCs w:val="21"/>
        </w:rPr>
        <w:instrText xml:space="preserve"> </w:instrText>
      </w:r>
      <w:r w:rsidRPr="00800D22">
        <w:rPr>
          <w:rFonts w:eastAsia="新宋体"/>
          <w:kern w:val="0"/>
          <w:szCs w:val="21"/>
        </w:rPr>
        <w:fldChar w:fldCharType="separate"/>
      </w:r>
      <w:r w:rsidRPr="00800D22">
        <w:rPr>
          <w:rFonts w:eastAsia="新宋体"/>
          <w:noProof/>
          <w:kern w:val="0"/>
          <w:szCs w:val="21"/>
        </w:rPr>
        <w:t>25</w:t>
      </w:r>
      <w:r w:rsidRPr="00800D22">
        <w:rPr>
          <w:rFonts w:eastAsia="新宋体"/>
          <w:kern w:val="0"/>
          <w:szCs w:val="21"/>
        </w:rPr>
        <w:fldChar w:fldCharType="end"/>
      </w:r>
      <w:r w:rsidRPr="00800D22">
        <w:rPr>
          <w:rFonts w:eastAsia="新宋体" w:hint="eastAsia"/>
          <w:kern w:val="0"/>
          <w:szCs w:val="21"/>
        </w:rPr>
        <w:t xml:space="preserve">  1996-2008</w:t>
      </w:r>
      <w:r w:rsidRPr="00800D22">
        <w:rPr>
          <w:rFonts w:eastAsia="新宋体" w:hint="eastAsia"/>
          <w:kern w:val="0"/>
          <w:szCs w:val="21"/>
        </w:rPr>
        <w:t>年英国债券市场结构</w:t>
      </w:r>
      <w:r w:rsidRPr="00800D22">
        <w:rPr>
          <w:rFonts w:eastAsia="新宋体"/>
          <w:kern w:val="0"/>
          <w:szCs w:val="21"/>
        </w:rPr>
        <w:t>（</w:t>
      </w:r>
      <w:r w:rsidRPr="00800D22">
        <w:rPr>
          <w:rFonts w:eastAsia="新宋体"/>
          <w:szCs w:val="21"/>
        </w:rPr>
        <w:t>单位：</w:t>
      </w:r>
      <w:r w:rsidRPr="00800D22">
        <w:rPr>
          <w:rFonts w:eastAsia="新宋体"/>
          <w:szCs w:val="21"/>
        </w:rPr>
        <w:t>10</w:t>
      </w:r>
      <w:r w:rsidRPr="00800D22">
        <w:rPr>
          <w:rFonts w:eastAsia="新宋体"/>
          <w:szCs w:val="21"/>
        </w:rPr>
        <w:t>亿美元）</w:t>
      </w:r>
      <w:bookmarkEnd w:id="5"/>
    </w:p>
    <w:p w14:paraId="3EA34321" w14:textId="77777777" w:rsidR="00A54666" w:rsidRPr="00800D22" w:rsidRDefault="00A54666" w:rsidP="00A54666">
      <w:pPr>
        <w:jc w:val="center"/>
        <w:rPr>
          <w:rFonts w:eastAsia="新宋体" w:hint="eastAsia"/>
          <w:szCs w:val="21"/>
        </w:rPr>
      </w:pPr>
      <w:r w:rsidRPr="00800D22">
        <w:rPr>
          <w:rFonts w:eastAsia="新宋体" w:hAnsi="新宋体" w:hint="eastAsia"/>
          <w:bCs/>
          <w:kern w:val="0"/>
          <w:szCs w:val="21"/>
        </w:rPr>
        <w:t xml:space="preserve">Figure </w:t>
      </w:r>
      <w:proofErr w:type="gramStart"/>
      <w:r w:rsidRPr="00800D22">
        <w:rPr>
          <w:rFonts w:eastAsia="新宋体" w:hAnsi="新宋体" w:hint="eastAsia"/>
          <w:bCs/>
          <w:kern w:val="0"/>
          <w:szCs w:val="21"/>
        </w:rPr>
        <w:t xml:space="preserve">5.25  </w:t>
      </w:r>
      <w:r w:rsidRPr="00800D22">
        <w:rPr>
          <w:rFonts w:hint="eastAsia"/>
          <w:szCs w:val="21"/>
        </w:rPr>
        <w:t>Structure</w:t>
      </w:r>
      <w:proofErr w:type="gramEnd"/>
      <w:r w:rsidRPr="00800D22">
        <w:rPr>
          <w:rFonts w:hint="eastAsia"/>
          <w:szCs w:val="21"/>
        </w:rPr>
        <w:t xml:space="preserve"> of </w:t>
      </w:r>
      <w:smartTag w:uri="urn:schemas-microsoft-com:office:smarttags" w:element="place">
        <w:smartTag w:uri="urn:schemas-microsoft-com:office:smarttags" w:element="country-region">
          <w:r w:rsidRPr="00800D22">
            <w:rPr>
              <w:szCs w:val="21"/>
            </w:rPr>
            <w:t>UK</w:t>
          </w:r>
        </w:smartTag>
      </w:smartTag>
      <w:r w:rsidRPr="00800D22">
        <w:rPr>
          <w:rFonts w:hint="eastAsia"/>
          <w:szCs w:val="21"/>
        </w:rPr>
        <w:t xml:space="preserve"> bond market from 1996 to 2008 (Unit: </w:t>
      </w:r>
      <w:r w:rsidRPr="00800D22">
        <w:rPr>
          <w:szCs w:val="21"/>
        </w:rPr>
        <w:t>billion</w:t>
      </w:r>
      <w:r w:rsidRPr="00800D22">
        <w:rPr>
          <w:rFonts w:hint="eastAsia"/>
          <w:szCs w:val="21"/>
        </w:rPr>
        <w:t xml:space="preserve"> dollar)</w:t>
      </w:r>
    </w:p>
    <w:p w14:paraId="18531F9C" w14:textId="77777777" w:rsidR="00A54666" w:rsidRPr="00800D22" w:rsidRDefault="00A54666" w:rsidP="00A54666">
      <w:pPr>
        <w:ind w:firstLineChars="200" w:firstLine="420"/>
        <w:rPr>
          <w:rStyle w:val="af2"/>
          <w:b w:val="0"/>
          <w:bCs w:val="0"/>
        </w:rPr>
      </w:pPr>
      <w:r w:rsidRPr="00800D22">
        <w:rPr>
          <w:rStyle w:val="af2"/>
          <w:b w:val="0"/>
          <w:bCs w:val="0"/>
        </w:rPr>
        <w:t>注：不含</w:t>
      </w:r>
      <w:r w:rsidRPr="00800D22">
        <w:rPr>
          <w:szCs w:val="21"/>
        </w:rPr>
        <w:t>证券化产品</w:t>
      </w:r>
    </w:p>
    <w:p w14:paraId="47F061B6" w14:textId="77777777" w:rsidR="00A54666" w:rsidRPr="00800D22" w:rsidRDefault="00A54666" w:rsidP="00A54666">
      <w:pPr>
        <w:spacing w:afterLines="50" w:after="156"/>
        <w:ind w:firstLineChars="200" w:firstLine="420"/>
        <w:rPr>
          <w:rStyle w:val="af2"/>
          <w:b w:val="0"/>
          <w:bCs w:val="0"/>
        </w:rPr>
      </w:pPr>
      <w:r w:rsidRPr="00800D22">
        <w:rPr>
          <w:rStyle w:val="af2"/>
          <w:b w:val="0"/>
          <w:bCs w:val="0"/>
        </w:rPr>
        <w:t>数据来源：</w:t>
      </w:r>
      <w:r w:rsidRPr="00800D22">
        <w:rPr>
          <w:rStyle w:val="af2"/>
          <w:b w:val="0"/>
          <w:bCs w:val="0"/>
        </w:rPr>
        <w:t>The Bank for International Settlements</w:t>
      </w:r>
    </w:p>
    <w:p w14:paraId="6BE16C3D" w14:textId="11478AFF" w:rsidR="00A54666" w:rsidRPr="00800D22" w:rsidRDefault="00A54666" w:rsidP="00A54666">
      <w:pPr>
        <w:jc w:val="center"/>
        <w:rPr>
          <w:rStyle w:val="af2"/>
          <w:b w:val="0"/>
          <w:bCs w:val="0"/>
        </w:rPr>
      </w:pPr>
      <w:r w:rsidRPr="00800D22">
        <w:rPr>
          <w:rStyle w:val="af2"/>
          <w:b w:val="0"/>
          <w:bCs w:val="0"/>
          <w:noProof/>
        </w:rPr>
        <w:drawing>
          <wp:inline distT="0" distB="0" distL="0" distR="0" wp14:anchorId="726C76FC" wp14:editId="02F522E0">
            <wp:extent cx="5270500" cy="2673350"/>
            <wp:effectExtent l="0" t="0" r="0" b="0"/>
            <wp:docPr id="39988228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2673350"/>
                    </a:xfrm>
                    <a:prstGeom prst="rect">
                      <a:avLst/>
                    </a:prstGeom>
                    <a:noFill/>
                    <a:ln>
                      <a:noFill/>
                    </a:ln>
                  </pic:spPr>
                </pic:pic>
              </a:graphicData>
            </a:graphic>
          </wp:inline>
        </w:drawing>
      </w:r>
    </w:p>
    <w:p w14:paraId="42025A4B" w14:textId="77777777" w:rsidR="00A54666" w:rsidRPr="00800D22" w:rsidRDefault="00A54666" w:rsidP="00A54666">
      <w:pPr>
        <w:pStyle w:val="af3"/>
        <w:jc w:val="center"/>
        <w:rPr>
          <w:rStyle w:val="af2"/>
          <w:rFonts w:ascii="Times New Roman" w:eastAsia="宋体" w:hAnsi="Times New Roman" w:cs="Times New Roman" w:hint="eastAsia"/>
          <w:b w:val="0"/>
          <w:bCs w:val="0"/>
          <w:sz w:val="21"/>
          <w:szCs w:val="24"/>
        </w:rPr>
      </w:pPr>
      <w:bookmarkStart w:id="6" w:name="_Toc256507090"/>
      <w:r w:rsidRPr="00800D22">
        <w:rPr>
          <w:rStyle w:val="af2"/>
          <w:rFonts w:ascii="Times New Roman" w:eastAsia="宋体" w:hAnsi="Times New Roman" w:cs="Times New Roman" w:hint="eastAsia"/>
          <w:b w:val="0"/>
          <w:sz w:val="21"/>
          <w:szCs w:val="24"/>
        </w:rPr>
        <w:t>图</w:t>
      </w:r>
      <w:r w:rsidRPr="00800D22">
        <w:rPr>
          <w:rStyle w:val="af2"/>
          <w:rFonts w:ascii="Times New Roman" w:eastAsia="宋体" w:hAnsi="Times New Roman" w:cs="Times New Roman" w:hint="eastAsia"/>
          <w:b w:val="0"/>
          <w:sz w:val="21"/>
          <w:szCs w:val="24"/>
        </w:rPr>
        <w:t>5.</w:t>
      </w:r>
      <w:r w:rsidRPr="00800D22">
        <w:rPr>
          <w:rStyle w:val="af2"/>
          <w:rFonts w:ascii="Times New Roman" w:eastAsia="宋体" w:hAnsi="Times New Roman" w:cs="Times New Roman"/>
          <w:b w:val="0"/>
          <w:sz w:val="21"/>
          <w:szCs w:val="24"/>
        </w:rPr>
        <w:fldChar w:fldCharType="begin"/>
      </w:r>
      <w:r w:rsidRPr="00800D22">
        <w:rPr>
          <w:rStyle w:val="af2"/>
          <w:rFonts w:ascii="Times New Roman" w:eastAsia="宋体" w:hAnsi="Times New Roman" w:cs="Times New Roman"/>
          <w:b w:val="0"/>
          <w:sz w:val="21"/>
          <w:szCs w:val="24"/>
        </w:rPr>
        <w:instrText xml:space="preserve"> </w:instrText>
      </w:r>
      <w:r w:rsidRPr="00800D22">
        <w:rPr>
          <w:rStyle w:val="af2"/>
          <w:rFonts w:ascii="Times New Roman" w:eastAsia="宋体" w:hAnsi="Times New Roman" w:cs="Times New Roman" w:hint="eastAsia"/>
          <w:b w:val="0"/>
          <w:sz w:val="21"/>
          <w:szCs w:val="24"/>
        </w:rPr>
        <w:instrText xml:space="preserve">SEQ </w:instrText>
      </w:r>
      <w:r w:rsidRPr="00800D22">
        <w:rPr>
          <w:rStyle w:val="af2"/>
          <w:rFonts w:ascii="Times New Roman" w:eastAsia="宋体" w:hAnsi="Times New Roman" w:cs="Times New Roman" w:hint="eastAsia"/>
          <w:b w:val="0"/>
          <w:sz w:val="21"/>
          <w:szCs w:val="24"/>
        </w:rPr>
        <w:instrText>图</w:instrText>
      </w:r>
      <w:r w:rsidRPr="00800D22">
        <w:rPr>
          <w:rStyle w:val="af2"/>
          <w:rFonts w:ascii="Times New Roman" w:eastAsia="宋体" w:hAnsi="Times New Roman" w:cs="Times New Roman" w:hint="eastAsia"/>
          <w:b w:val="0"/>
          <w:sz w:val="21"/>
          <w:szCs w:val="24"/>
        </w:rPr>
        <w:instrText>5. \* ARABIC</w:instrText>
      </w:r>
      <w:r w:rsidRPr="00800D22">
        <w:rPr>
          <w:rStyle w:val="af2"/>
          <w:rFonts w:ascii="Times New Roman" w:eastAsia="宋体" w:hAnsi="Times New Roman" w:cs="Times New Roman"/>
          <w:b w:val="0"/>
          <w:sz w:val="21"/>
          <w:szCs w:val="24"/>
        </w:rPr>
        <w:instrText xml:space="preserve"> </w:instrText>
      </w:r>
      <w:r w:rsidRPr="00800D22">
        <w:rPr>
          <w:rStyle w:val="af2"/>
          <w:rFonts w:ascii="Times New Roman" w:eastAsia="宋体" w:hAnsi="Times New Roman" w:cs="Times New Roman"/>
          <w:b w:val="0"/>
          <w:sz w:val="21"/>
          <w:szCs w:val="24"/>
        </w:rPr>
        <w:fldChar w:fldCharType="separate"/>
      </w:r>
      <w:r w:rsidRPr="00800D22">
        <w:rPr>
          <w:rStyle w:val="af2"/>
          <w:rFonts w:ascii="Times New Roman" w:eastAsia="宋体" w:hAnsi="Times New Roman" w:cs="Times New Roman"/>
          <w:b w:val="0"/>
          <w:noProof/>
          <w:sz w:val="21"/>
          <w:szCs w:val="24"/>
        </w:rPr>
        <w:t>26</w:t>
      </w:r>
      <w:r w:rsidRPr="00800D22">
        <w:rPr>
          <w:rStyle w:val="af2"/>
          <w:rFonts w:ascii="Times New Roman" w:eastAsia="宋体" w:hAnsi="Times New Roman" w:cs="Times New Roman"/>
          <w:b w:val="0"/>
          <w:sz w:val="21"/>
          <w:szCs w:val="24"/>
        </w:rPr>
        <w:fldChar w:fldCharType="end"/>
      </w:r>
      <w:r w:rsidRPr="00800D22">
        <w:rPr>
          <w:rStyle w:val="af2"/>
          <w:rFonts w:ascii="Times New Roman" w:eastAsia="宋体" w:hAnsi="Times New Roman" w:cs="Times New Roman" w:hint="eastAsia"/>
          <w:b w:val="0"/>
          <w:sz w:val="21"/>
          <w:szCs w:val="24"/>
        </w:rPr>
        <w:t xml:space="preserve">  2000-2008</w:t>
      </w:r>
      <w:r w:rsidRPr="00800D22">
        <w:rPr>
          <w:rStyle w:val="af2"/>
          <w:rFonts w:ascii="Times New Roman" w:eastAsia="宋体" w:hAnsi="Times New Roman" w:cs="Times New Roman" w:hint="eastAsia"/>
          <w:b w:val="0"/>
          <w:sz w:val="21"/>
          <w:szCs w:val="24"/>
        </w:rPr>
        <w:t>年英国债券余额占</w:t>
      </w:r>
      <w:r w:rsidRPr="00800D22">
        <w:rPr>
          <w:rStyle w:val="af2"/>
          <w:rFonts w:ascii="Times New Roman" w:eastAsia="宋体" w:hAnsi="Times New Roman" w:cs="Times New Roman" w:hint="eastAsia"/>
          <w:b w:val="0"/>
          <w:sz w:val="21"/>
          <w:szCs w:val="24"/>
        </w:rPr>
        <w:t>GDP</w:t>
      </w:r>
      <w:r w:rsidRPr="00800D22">
        <w:rPr>
          <w:rStyle w:val="af2"/>
          <w:rFonts w:ascii="Times New Roman" w:eastAsia="宋体" w:hAnsi="Times New Roman" w:cs="Times New Roman" w:hint="eastAsia"/>
          <w:b w:val="0"/>
          <w:sz w:val="21"/>
          <w:szCs w:val="24"/>
        </w:rPr>
        <w:t>比重情况</w:t>
      </w:r>
      <w:bookmarkEnd w:id="6"/>
    </w:p>
    <w:p w14:paraId="6F4ECC14" w14:textId="77777777" w:rsidR="00A54666" w:rsidRPr="00800D22" w:rsidRDefault="00A54666" w:rsidP="00A54666">
      <w:pPr>
        <w:jc w:val="center"/>
        <w:rPr>
          <w:rFonts w:hint="eastAsia"/>
          <w:szCs w:val="21"/>
        </w:rPr>
      </w:pPr>
      <w:r w:rsidRPr="00800D22">
        <w:rPr>
          <w:rFonts w:eastAsia="新宋体" w:hAnsi="新宋体" w:hint="eastAsia"/>
          <w:bCs/>
          <w:kern w:val="0"/>
          <w:szCs w:val="21"/>
        </w:rPr>
        <w:t xml:space="preserve">Figure </w:t>
      </w:r>
      <w:proofErr w:type="gramStart"/>
      <w:r w:rsidRPr="00800D22">
        <w:rPr>
          <w:rFonts w:eastAsia="新宋体" w:hAnsi="新宋体" w:hint="eastAsia"/>
          <w:bCs/>
          <w:kern w:val="0"/>
          <w:szCs w:val="21"/>
        </w:rPr>
        <w:t xml:space="preserve">5.26  </w:t>
      </w:r>
      <w:r w:rsidRPr="00800D22">
        <w:rPr>
          <w:rFonts w:hint="eastAsia"/>
          <w:szCs w:val="21"/>
        </w:rPr>
        <w:t>Proportions</w:t>
      </w:r>
      <w:proofErr w:type="gramEnd"/>
      <w:r w:rsidRPr="00800D22">
        <w:rPr>
          <w:rFonts w:hint="eastAsia"/>
          <w:szCs w:val="21"/>
        </w:rPr>
        <w:t xml:space="preserve"> of the balance of </w:t>
      </w:r>
      <w:smartTag w:uri="urn:schemas-microsoft-com:office:smarttags" w:element="place">
        <w:smartTag w:uri="urn:schemas-microsoft-com:office:smarttags" w:element="country-region">
          <w:r w:rsidRPr="00800D22">
            <w:rPr>
              <w:rFonts w:hint="eastAsia"/>
              <w:szCs w:val="21"/>
            </w:rPr>
            <w:t>UK</w:t>
          </w:r>
        </w:smartTag>
      </w:smartTag>
      <w:r w:rsidRPr="00800D22">
        <w:rPr>
          <w:rFonts w:hint="eastAsia"/>
          <w:szCs w:val="21"/>
        </w:rPr>
        <w:t xml:space="preserve"> bond to GDP from 2000 to 2008</w:t>
      </w:r>
    </w:p>
    <w:p w14:paraId="3CF81D7E" w14:textId="77777777" w:rsidR="00A54666" w:rsidRPr="00800D22" w:rsidRDefault="00A54666" w:rsidP="00A54666">
      <w:pPr>
        <w:ind w:firstLineChars="200" w:firstLine="360"/>
        <w:rPr>
          <w:rStyle w:val="af2"/>
          <w:b w:val="0"/>
          <w:bCs w:val="0"/>
          <w:sz w:val="18"/>
          <w:szCs w:val="18"/>
        </w:rPr>
      </w:pPr>
      <w:r w:rsidRPr="00800D22">
        <w:rPr>
          <w:rStyle w:val="af2"/>
          <w:b w:val="0"/>
          <w:bCs w:val="0"/>
          <w:sz w:val="18"/>
          <w:szCs w:val="18"/>
        </w:rPr>
        <w:t>注：债券余额中不含</w:t>
      </w:r>
      <w:r w:rsidRPr="00800D22">
        <w:rPr>
          <w:sz w:val="18"/>
          <w:szCs w:val="18"/>
        </w:rPr>
        <w:t>证券化产品</w:t>
      </w:r>
    </w:p>
    <w:p w14:paraId="159038ED" w14:textId="77777777" w:rsidR="00A54666" w:rsidRPr="00800D22" w:rsidRDefault="00A54666" w:rsidP="00A54666">
      <w:pPr>
        <w:spacing w:afterLines="100" w:after="312"/>
        <w:ind w:firstLineChars="200" w:firstLine="360"/>
        <w:rPr>
          <w:rStyle w:val="af2"/>
          <w:b w:val="0"/>
          <w:bCs w:val="0"/>
          <w:sz w:val="18"/>
          <w:szCs w:val="18"/>
        </w:rPr>
      </w:pPr>
      <w:r w:rsidRPr="00800D22">
        <w:rPr>
          <w:rStyle w:val="af2"/>
          <w:b w:val="0"/>
          <w:bCs w:val="0"/>
          <w:sz w:val="18"/>
          <w:szCs w:val="18"/>
        </w:rPr>
        <w:t>数据来源：</w:t>
      </w:r>
      <w:r w:rsidRPr="00800D22">
        <w:rPr>
          <w:rStyle w:val="af2"/>
          <w:b w:val="0"/>
          <w:bCs w:val="0"/>
          <w:sz w:val="18"/>
          <w:szCs w:val="18"/>
        </w:rPr>
        <w:t>The Bank for International Settlements</w:t>
      </w:r>
      <w:r w:rsidRPr="00800D22">
        <w:rPr>
          <w:rStyle w:val="af2"/>
          <w:b w:val="0"/>
          <w:bCs w:val="0"/>
          <w:sz w:val="18"/>
          <w:szCs w:val="18"/>
        </w:rPr>
        <w:t>，</w:t>
      </w:r>
      <w:r w:rsidRPr="00800D22">
        <w:rPr>
          <w:sz w:val="18"/>
          <w:szCs w:val="18"/>
        </w:rPr>
        <w:t xml:space="preserve">The World Bank </w:t>
      </w:r>
    </w:p>
    <w:p w14:paraId="58E4A0E1" w14:textId="044603BD" w:rsidR="00A54666" w:rsidRPr="00800D22" w:rsidRDefault="00A54666" w:rsidP="00A54666">
      <w:pPr>
        <w:spacing w:beforeLines="50" w:before="156" w:line="360" w:lineRule="auto"/>
        <w:jc w:val="center"/>
        <w:rPr>
          <w:rStyle w:val="af2"/>
          <w:bCs w:val="0"/>
        </w:rPr>
      </w:pPr>
      <w:r w:rsidRPr="00800D22">
        <w:rPr>
          <w:rStyle w:val="af2"/>
          <w:b w:val="0"/>
          <w:bCs w:val="0"/>
          <w:noProof/>
        </w:rPr>
        <w:drawing>
          <wp:inline distT="0" distB="0" distL="0" distR="0" wp14:anchorId="461D874D" wp14:editId="4AFA6D75">
            <wp:extent cx="5270500" cy="2673350"/>
            <wp:effectExtent l="0" t="0" r="0" b="0"/>
            <wp:docPr id="2688676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673350"/>
                    </a:xfrm>
                    <a:prstGeom prst="rect">
                      <a:avLst/>
                    </a:prstGeom>
                    <a:noFill/>
                    <a:ln>
                      <a:noFill/>
                    </a:ln>
                  </pic:spPr>
                </pic:pic>
              </a:graphicData>
            </a:graphic>
          </wp:inline>
        </w:drawing>
      </w:r>
    </w:p>
    <w:p w14:paraId="55FCCE33" w14:textId="77777777" w:rsidR="00A54666" w:rsidRPr="00800D22" w:rsidRDefault="00A54666" w:rsidP="00A54666">
      <w:pPr>
        <w:keepNext/>
        <w:ind w:firstLineChars="200" w:firstLine="420"/>
        <w:jc w:val="center"/>
        <w:rPr>
          <w:rStyle w:val="af2"/>
          <w:rFonts w:hint="eastAsia"/>
          <w:b w:val="0"/>
          <w:bCs w:val="0"/>
        </w:rPr>
      </w:pPr>
      <w:bookmarkStart w:id="7" w:name="_Toc256507091"/>
      <w:r w:rsidRPr="00800D22">
        <w:rPr>
          <w:rStyle w:val="af2"/>
          <w:rFonts w:hint="eastAsia"/>
          <w:b w:val="0"/>
        </w:rPr>
        <w:t>图</w:t>
      </w:r>
      <w:r w:rsidRPr="00800D22">
        <w:rPr>
          <w:rStyle w:val="af2"/>
          <w:rFonts w:hint="eastAsia"/>
          <w:b w:val="0"/>
        </w:rPr>
        <w:t>5.</w:t>
      </w:r>
      <w:r w:rsidRPr="00800D22">
        <w:rPr>
          <w:rStyle w:val="af2"/>
          <w:b w:val="0"/>
        </w:rPr>
        <w:fldChar w:fldCharType="begin"/>
      </w:r>
      <w:r w:rsidRPr="00800D22">
        <w:rPr>
          <w:rStyle w:val="af2"/>
          <w:b w:val="0"/>
        </w:rPr>
        <w:instrText xml:space="preserve"> </w:instrText>
      </w:r>
      <w:r w:rsidRPr="00800D22">
        <w:rPr>
          <w:rStyle w:val="af2"/>
          <w:rFonts w:hint="eastAsia"/>
          <w:b w:val="0"/>
        </w:rPr>
        <w:instrText xml:space="preserve">SEQ </w:instrText>
      </w:r>
      <w:r w:rsidRPr="00800D22">
        <w:rPr>
          <w:rStyle w:val="af2"/>
          <w:rFonts w:hint="eastAsia"/>
          <w:b w:val="0"/>
        </w:rPr>
        <w:instrText>图</w:instrText>
      </w:r>
      <w:r w:rsidRPr="00800D22">
        <w:rPr>
          <w:rStyle w:val="af2"/>
          <w:rFonts w:hint="eastAsia"/>
          <w:b w:val="0"/>
        </w:rPr>
        <w:instrText>5. \* ARABIC</w:instrText>
      </w:r>
      <w:r w:rsidRPr="00800D22">
        <w:rPr>
          <w:rStyle w:val="af2"/>
          <w:b w:val="0"/>
        </w:rPr>
        <w:instrText xml:space="preserve"> </w:instrText>
      </w:r>
      <w:r w:rsidRPr="00800D22">
        <w:rPr>
          <w:rStyle w:val="af2"/>
          <w:b w:val="0"/>
        </w:rPr>
        <w:fldChar w:fldCharType="separate"/>
      </w:r>
      <w:r w:rsidRPr="00800D22">
        <w:rPr>
          <w:rStyle w:val="af2"/>
          <w:b w:val="0"/>
          <w:noProof/>
        </w:rPr>
        <w:t>27</w:t>
      </w:r>
      <w:r w:rsidRPr="00800D22">
        <w:rPr>
          <w:rStyle w:val="af2"/>
          <w:b w:val="0"/>
        </w:rPr>
        <w:fldChar w:fldCharType="end"/>
      </w:r>
      <w:r w:rsidRPr="00800D22">
        <w:rPr>
          <w:rStyle w:val="af2"/>
          <w:rFonts w:hint="eastAsia"/>
          <w:b w:val="0"/>
        </w:rPr>
        <w:t xml:space="preserve">  2000-2008</w:t>
      </w:r>
      <w:r w:rsidRPr="00800D22">
        <w:rPr>
          <w:rStyle w:val="af2"/>
          <w:rFonts w:hint="eastAsia"/>
          <w:b w:val="0"/>
        </w:rPr>
        <w:t>年英国抵押支持证券和资产支持证券余额</w:t>
      </w:r>
      <w:r w:rsidRPr="00800D22">
        <w:rPr>
          <w:rStyle w:val="af2"/>
          <w:b w:val="0"/>
          <w:bCs w:val="0"/>
        </w:rPr>
        <w:t>（单位：</w:t>
      </w:r>
      <w:r w:rsidRPr="00800D22">
        <w:rPr>
          <w:rStyle w:val="af2"/>
          <w:b w:val="0"/>
          <w:bCs w:val="0"/>
        </w:rPr>
        <w:t>10</w:t>
      </w:r>
      <w:r w:rsidRPr="00800D22">
        <w:rPr>
          <w:rStyle w:val="af2"/>
          <w:b w:val="0"/>
          <w:bCs w:val="0"/>
        </w:rPr>
        <w:t>亿美元）</w:t>
      </w:r>
      <w:bookmarkEnd w:id="7"/>
    </w:p>
    <w:p w14:paraId="5E7F5B09" w14:textId="77777777" w:rsidR="00A54666" w:rsidRPr="00800D22" w:rsidRDefault="00A54666" w:rsidP="00A54666">
      <w:pPr>
        <w:jc w:val="center"/>
        <w:rPr>
          <w:rFonts w:hint="eastAsia"/>
          <w:szCs w:val="21"/>
        </w:rPr>
      </w:pPr>
      <w:r w:rsidRPr="00800D22">
        <w:rPr>
          <w:rFonts w:eastAsia="新宋体" w:hAnsi="新宋体" w:hint="eastAsia"/>
          <w:bCs/>
          <w:kern w:val="0"/>
          <w:szCs w:val="21"/>
        </w:rPr>
        <w:t xml:space="preserve">Figure </w:t>
      </w:r>
      <w:proofErr w:type="gramStart"/>
      <w:r w:rsidRPr="00800D22">
        <w:rPr>
          <w:rFonts w:eastAsia="新宋体" w:hAnsi="新宋体" w:hint="eastAsia"/>
          <w:bCs/>
          <w:kern w:val="0"/>
          <w:szCs w:val="21"/>
        </w:rPr>
        <w:t xml:space="preserve">5.27  </w:t>
      </w:r>
      <w:r w:rsidRPr="00800D22">
        <w:rPr>
          <w:rFonts w:hint="eastAsia"/>
          <w:szCs w:val="21"/>
        </w:rPr>
        <w:t>B</w:t>
      </w:r>
      <w:r w:rsidRPr="00800D22">
        <w:rPr>
          <w:szCs w:val="21"/>
        </w:rPr>
        <w:t>alance</w:t>
      </w:r>
      <w:proofErr w:type="gramEnd"/>
      <w:r w:rsidRPr="00800D22">
        <w:rPr>
          <w:rFonts w:hint="eastAsia"/>
          <w:szCs w:val="21"/>
        </w:rPr>
        <w:t xml:space="preserve"> of UK </w:t>
      </w:r>
      <w:proofErr w:type="spellStart"/>
      <w:r w:rsidRPr="00800D22">
        <w:rPr>
          <w:rFonts w:hint="eastAsia"/>
          <w:szCs w:val="21"/>
        </w:rPr>
        <w:t>m</w:t>
      </w:r>
      <w:r w:rsidRPr="00800D22">
        <w:rPr>
          <w:szCs w:val="21"/>
        </w:rPr>
        <w:t>ortage</w:t>
      </w:r>
      <w:proofErr w:type="spellEnd"/>
      <w:r w:rsidRPr="00800D22">
        <w:rPr>
          <w:szCs w:val="21"/>
        </w:rPr>
        <w:t>-</w:t>
      </w:r>
      <w:r w:rsidRPr="00800D22">
        <w:rPr>
          <w:rFonts w:hint="eastAsia"/>
          <w:szCs w:val="21"/>
        </w:rPr>
        <w:t>b</w:t>
      </w:r>
      <w:r w:rsidRPr="00800D22">
        <w:rPr>
          <w:szCs w:val="21"/>
        </w:rPr>
        <w:t xml:space="preserve">acked </w:t>
      </w:r>
      <w:r w:rsidRPr="00800D22">
        <w:rPr>
          <w:rFonts w:hint="eastAsia"/>
          <w:szCs w:val="21"/>
        </w:rPr>
        <w:t>s</w:t>
      </w:r>
      <w:r w:rsidRPr="00800D22">
        <w:rPr>
          <w:szCs w:val="21"/>
        </w:rPr>
        <w:t>ecurities</w:t>
      </w:r>
      <w:r w:rsidRPr="00800D22">
        <w:rPr>
          <w:rFonts w:hint="eastAsia"/>
          <w:szCs w:val="21"/>
        </w:rPr>
        <w:t xml:space="preserve"> and a</w:t>
      </w:r>
      <w:r w:rsidRPr="00800D22">
        <w:rPr>
          <w:szCs w:val="21"/>
        </w:rPr>
        <w:t xml:space="preserve">sset </w:t>
      </w:r>
      <w:r w:rsidRPr="00800D22">
        <w:rPr>
          <w:rFonts w:hint="eastAsia"/>
          <w:szCs w:val="21"/>
        </w:rPr>
        <w:t>b</w:t>
      </w:r>
      <w:r w:rsidRPr="00800D22">
        <w:rPr>
          <w:szCs w:val="21"/>
        </w:rPr>
        <w:t xml:space="preserve">acked </w:t>
      </w:r>
      <w:r w:rsidRPr="00800D22">
        <w:rPr>
          <w:rFonts w:hint="eastAsia"/>
          <w:szCs w:val="21"/>
        </w:rPr>
        <w:t>s</w:t>
      </w:r>
      <w:r w:rsidRPr="00800D22">
        <w:rPr>
          <w:szCs w:val="21"/>
        </w:rPr>
        <w:t>ecurities</w:t>
      </w:r>
    </w:p>
    <w:p w14:paraId="56D4404F" w14:textId="77777777" w:rsidR="00A54666" w:rsidRPr="00800D22" w:rsidRDefault="00A54666" w:rsidP="00A54666">
      <w:pPr>
        <w:jc w:val="center"/>
        <w:rPr>
          <w:rFonts w:hint="eastAsia"/>
          <w:szCs w:val="21"/>
        </w:rPr>
      </w:pPr>
      <w:r w:rsidRPr="00800D22">
        <w:rPr>
          <w:rFonts w:hint="eastAsia"/>
          <w:szCs w:val="21"/>
        </w:rPr>
        <w:t xml:space="preserve">from 2000 to 2008 (Unit: </w:t>
      </w:r>
      <w:r w:rsidRPr="00800D22">
        <w:rPr>
          <w:szCs w:val="21"/>
        </w:rPr>
        <w:t>billion</w:t>
      </w:r>
      <w:r w:rsidRPr="00800D22">
        <w:rPr>
          <w:rFonts w:hint="eastAsia"/>
          <w:szCs w:val="21"/>
        </w:rPr>
        <w:t xml:space="preserve"> dollar)</w:t>
      </w:r>
    </w:p>
    <w:p w14:paraId="27B400F3" w14:textId="77777777" w:rsidR="00A54666" w:rsidRPr="00800D22" w:rsidRDefault="00A54666" w:rsidP="00A54666">
      <w:pPr>
        <w:spacing w:afterLines="50" w:after="156"/>
        <w:ind w:firstLineChars="200" w:firstLine="360"/>
        <w:rPr>
          <w:rFonts w:eastAsia="新宋体" w:hint="eastAsia"/>
          <w:kern w:val="0"/>
          <w:sz w:val="18"/>
          <w:szCs w:val="18"/>
        </w:rPr>
      </w:pPr>
      <w:r w:rsidRPr="00800D22">
        <w:rPr>
          <w:rStyle w:val="af2"/>
          <w:b w:val="0"/>
          <w:bCs w:val="0"/>
          <w:sz w:val="18"/>
          <w:szCs w:val="18"/>
        </w:rPr>
        <w:t>数据来源：</w:t>
      </w:r>
      <w:r w:rsidRPr="00800D22">
        <w:rPr>
          <w:rFonts w:eastAsia="新宋体" w:hint="eastAsia"/>
          <w:kern w:val="0"/>
          <w:sz w:val="18"/>
          <w:szCs w:val="18"/>
        </w:rPr>
        <w:t>Securities Industry and Financial Markets Association</w:t>
      </w:r>
    </w:p>
    <w:p w14:paraId="3F95337C" w14:textId="7D563355" w:rsidR="00A54666" w:rsidRPr="00800D22" w:rsidRDefault="00A54666" w:rsidP="00A54666">
      <w:pPr>
        <w:rPr>
          <w:rStyle w:val="af2"/>
          <w:rFonts w:hint="eastAsia"/>
          <w:b w:val="0"/>
          <w:bCs w:val="0"/>
        </w:rPr>
      </w:pPr>
      <w:r w:rsidRPr="00800D22">
        <w:rPr>
          <w:rStyle w:val="af2"/>
          <w:b w:val="0"/>
          <w:bCs w:val="0"/>
          <w:noProof/>
        </w:rPr>
        <w:lastRenderedPageBreak/>
        <w:drawing>
          <wp:inline distT="0" distB="0" distL="0" distR="0" wp14:anchorId="75DC6239" wp14:editId="40AB0E73">
            <wp:extent cx="5270500" cy="2641600"/>
            <wp:effectExtent l="0" t="0" r="0" b="6350"/>
            <wp:docPr id="1034152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2641600"/>
                    </a:xfrm>
                    <a:prstGeom prst="rect">
                      <a:avLst/>
                    </a:prstGeom>
                    <a:noFill/>
                    <a:ln>
                      <a:noFill/>
                    </a:ln>
                  </pic:spPr>
                </pic:pic>
              </a:graphicData>
            </a:graphic>
          </wp:inline>
        </w:drawing>
      </w:r>
    </w:p>
    <w:p w14:paraId="59E4E148" w14:textId="77777777" w:rsidR="00A54666" w:rsidRPr="00800D22" w:rsidRDefault="00A54666" w:rsidP="00A54666">
      <w:pPr>
        <w:keepNext/>
        <w:jc w:val="center"/>
        <w:rPr>
          <w:rFonts w:hint="eastAsia"/>
          <w:szCs w:val="21"/>
        </w:rPr>
      </w:pPr>
      <w:bookmarkStart w:id="8" w:name="_Toc256507092"/>
      <w:r w:rsidRPr="00800D22">
        <w:rPr>
          <w:rFonts w:hint="eastAsia"/>
          <w:szCs w:val="21"/>
        </w:rPr>
        <w:t>图</w:t>
      </w:r>
      <w:r w:rsidRPr="00800D22">
        <w:rPr>
          <w:rFonts w:hint="eastAsia"/>
          <w:szCs w:val="21"/>
        </w:rPr>
        <w:t>5.</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图</w:instrText>
      </w:r>
      <w:r w:rsidRPr="00800D22">
        <w:rPr>
          <w:rFonts w:hint="eastAsia"/>
          <w:szCs w:val="21"/>
        </w:rPr>
        <w:instrText>5. \* ARABIC</w:instrText>
      </w:r>
      <w:r w:rsidRPr="00800D22">
        <w:rPr>
          <w:szCs w:val="21"/>
        </w:rPr>
        <w:instrText xml:space="preserve"> </w:instrText>
      </w:r>
      <w:r w:rsidRPr="00800D22">
        <w:rPr>
          <w:szCs w:val="21"/>
        </w:rPr>
        <w:fldChar w:fldCharType="separate"/>
      </w:r>
      <w:r w:rsidRPr="00800D22">
        <w:rPr>
          <w:noProof/>
          <w:szCs w:val="21"/>
        </w:rPr>
        <w:t>28</w:t>
      </w:r>
      <w:r w:rsidRPr="00800D22">
        <w:rPr>
          <w:szCs w:val="21"/>
        </w:rPr>
        <w:fldChar w:fldCharType="end"/>
      </w:r>
      <w:r w:rsidRPr="00800D22">
        <w:rPr>
          <w:rFonts w:hint="eastAsia"/>
          <w:szCs w:val="21"/>
        </w:rPr>
        <w:t xml:space="preserve">  </w:t>
      </w:r>
      <w:r w:rsidRPr="00800D22">
        <w:rPr>
          <w:rFonts w:hint="eastAsia"/>
          <w:szCs w:val="21"/>
        </w:rPr>
        <w:t>英国债券市场投资者结构</w:t>
      </w:r>
      <w:bookmarkEnd w:id="8"/>
    </w:p>
    <w:p w14:paraId="3CA35AB4" w14:textId="77777777" w:rsidR="00A54666" w:rsidRPr="00800D22" w:rsidRDefault="00A54666" w:rsidP="00A54666">
      <w:pPr>
        <w:jc w:val="center"/>
        <w:rPr>
          <w:rFonts w:hint="eastAsia"/>
          <w:szCs w:val="21"/>
        </w:rPr>
      </w:pPr>
      <w:r w:rsidRPr="00800D22">
        <w:rPr>
          <w:rFonts w:eastAsia="新宋体" w:hAnsi="新宋体" w:hint="eastAsia"/>
          <w:bCs/>
          <w:kern w:val="0"/>
          <w:szCs w:val="21"/>
        </w:rPr>
        <w:t xml:space="preserve">Figure </w:t>
      </w:r>
      <w:proofErr w:type="gramStart"/>
      <w:r w:rsidRPr="00800D22">
        <w:rPr>
          <w:rFonts w:eastAsia="新宋体" w:hAnsi="新宋体" w:hint="eastAsia"/>
          <w:bCs/>
          <w:kern w:val="0"/>
          <w:szCs w:val="21"/>
        </w:rPr>
        <w:t xml:space="preserve">5.28  </w:t>
      </w:r>
      <w:r w:rsidRPr="00800D22">
        <w:rPr>
          <w:rFonts w:hint="eastAsia"/>
          <w:szCs w:val="21"/>
        </w:rPr>
        <w:t>Investors</w:t>
      </w:r>
      <w:proofErr w:type="gramEnd"/>
      <w:r w:rsidRPr="00800D22">
        <w:rPr>
          <w:rFonts w:hint="eastAsia"/>
          <w:szCs w:val="21"/>
        </w:rPr>
        <w:t xml:space="preserve"> </w:t>
      </w:r>
      <w:r w:rsidRPr="00800D22">
        <w:rPr>
          <w:szCs w:val="21"/>
        </w:rPr>
        <w:t>structure</w:t>
      </w:r>
      <w:r w:rsidRPr="00800D22">
        <w:rPr>
          <w:rFonts w:hint="eastAsia"/>
          <w:szCs w:val="21"/>
        </w:rPr>
        <w:t xml:space="preserve"> of </w:t>
      </w:r>
      <w:smartTag w:uri="urn:schemas-microsoft-com:office:smarttags" w:element="place">
        <w:smartTag w:uri="urn:schemas-microsoft-com:office:smarttags" w:element="country-region">
          <w:r w:rsidRPr="00800D22">
            <w:rPr>
              <w:rFonts w:hint="eastAsia"/>
              <w:szCs w:val="21"/>
            </w:rPr>
            <w:t>UK</w:t>
          </w:r>
        </w:smartTag>
      </w:smartTag>
      <w:r w:rsidRPr="00800D22">
        <w:rPr>
          <w:rFonts w:hint="eastAsia"/>
          <w:szCs w:val="21"/>
        </w:rPr>
        <w:t xml:space="preserve"> bond market</w:t>
      </w:r>
    </w:p>
    <w:p w14:paraId="61DB732C" w14:textId="77777777" w:rsidR="00A54666" w:rsidRPr="00800D22" w:rsidRDefault="00A54666" w:rsidP="00A54666">
      <w:pPr>
        <w:spacing w:afterLines="50" w:after="156"/>
        <w:ind w:firstLineChars="150" w:firstLine="270"/>
        <w:rPr>
          <w:rFonts w:hint="eastAsia"/>
          <w:sz w:val="18"/>
          <w:szCs w:val="18"/>
        </w:rPr>
      </w:pPr>
      <w:r w:rsidRPr="00800D22">
        <w:rPr>
          <w:rFonts w:hint="eastAsia"/>
          <w:sz w:val="18"/>
          <w:szCs w:val="18"/>
        </w:rPr>
        <w:t>数据来源：冯光华</w:t>
      </w:r>
      <w:r w:rsidRPr="00800D22">
        <w:rPr>
          <w:rFonts w:hint="eastAsia"/>
          <w:sz w:val="18"/>
          <w:szCs w:val="18"/>
        </w:rPr>
        <w:t xml:space="preserve">. </w:t>
      </w:r>
      <w:r w:rsidRPr="00800D22">
        <w:rPr>
          <w:rFonts w:hint="eastAsia"/>
          <w:sz w:val="18"/>
          <w:szCs w:val="18"/>
        </w:rPr>
        <w:t>中国债券市场发展问题研究</w:t>
      </w:r>
      <w:r w:rsidRPr="00800D22">
        <w:rPr>
          <w:rFonts w:hint="eastAsia"/>
          <w:sz w:val="18"/>
          <w:szCs w:val="18"/>
        </w:rPr>
        <w:t>[M]</w:t>
      </w:r>
      <w:r w:rsidRPr="00800D22">
        <w:rPr>
          <w:rFonts w:hint="eastAsia"/>
          <w:sz w:val="18"/>
          <w:szCs w:val="18"/>
        </w:rPr>
        <w:t>，北京：中国金融出版社，</w:t>
      </w:r>
      <w:r w:rsidRPr="00800D22">
        <w:rPr>
          <w:rFonts w:hint="eastAsia"/>
          <w:sz w:val="18"/>
          <w:szCs w:val="18"/>
        </w:rPr>
        <w:t>2008</w:t>
      </w:r>
      <w:r w:rsidRPr="00800D22">
        <w:rPr>
          <w:rFonts w:hint="eastAsia"/>
          <w:sz w:val="18"/>
          <w:szCs w:val="18"/>
        </w:rPr>
        <w:t>，</w:t>
      </w:r>
      <w:r w:rsidRPr="00800D22">
        <w:rPr>
          <w:rFonts w:hint="eastAsia"/>
          <w:sz w:val="18"/>
          <w:szCs w:val="18"/>
        </w:rPr>
        <w:t>49-49.</w:t>
      </w:r>
    </w:p>
    <w:p w14:paraId="3ADE3946" w14:textId="767B6D37" w:rsidR="00A54666" w:rsidRPr="00800D22" w:rsidRDefault="00A54666" w:rsidP="00A54666">
      <w:pPr>
        <w:pStyle w:val="3"/>
        <w:adjustRightInd w:val="0"/>
        <w:spacing w:beforeLines="50" w:before="156" w:afterLines="50" w:after="156" w:line="440" w:lineRule="exact"/>
        <w:jc w:val="left"/>
        <w:rPr>
          <w:rFonts w:ascii="黑体" w:eastAsia="黑体"/>
          <w:b/>
          <w:sz w:val="28"/>
          <w:szCs w:val="28"/>
        </w:rPr>
      </w:pPr>
      <w:bookmarkStart w:id="9" w:name="_Toc238267509"/>
      <w:bookmarkStart w:id="10" w:name="_Toc238701440"/>
      <w:bookmarkStart w:id="11" w:name="_Toc239689216"/>
      <w:bookmarkStart w:id="12" w:name="_Toc247869835"/>
      <w:bookmarkStart w:id="13" w:name="_Toc256506270"/>
      <w:r>
        <w:rPr>
          <w:rFonts w:ascii="黑体" w:eastAsia="黑体" w:hint="eastAsia"/>
          <w:b/>
          <w:sz w:val="28"/>
          <w:szCs w:val="28"/>
        </w:rPr>
        <w:t>二、</w:t>
      </w:r>
      <w:r w:rsidRPr="00800D22">
        <w:rPr>
          <w:rFonts w:ascii="黑体" w:eastAsia="黑体"/>
          <w:b/>
          <w:sz w:val="28"/>
          <w:szCs w:val="28"/>
        </w:rPr>
        <w:t>法律制度环境</w:t>
      </w:r>
      <w:bookmarkEnd w:id="9"/>
      <w:bookmarkEnd w:id="10"/>
      <w:bookmarkEnd w:id="11"/>
      <w:bookmarkEnd w:id="12"/>
      <w:bookmarkEnd w:id="13"/>
    </w:p>
    <w:p w14:paraId="7A48078C" w14:textId="29464D08" w:rsidR="00A54666" w:rsidRPr="00800D22" w:rsidRDefault="00A54666" w:rsidP="00A54666">
      <w:pPr>
        <w:spacing w:line="440" w:lineRule="exact"/>
        <w:ind w:firstLineChars="200" w:firstLine="480"/>
        <w:outlineLvl w:val="3"/>
        <w:rPr>
          <w:rFonts w:ascii="黑体" w:eastAsia="黑体" w:hint="eastAsia"/>
          <w:sz w:val="24"/>
        </w:rPr>
      </w:pPr>
      <w:r>
        <w:rPr>
          <w:rFonts w:ascii="黑体" w:eastAsia="黑体" w:hint="eastAsia"/>
          <w:sz w:val="24"/>
        </w:rPr>
        <w:t>1.</w:t>
      </w:r>
      <w:r w:rsidRPr="00800D22">
        <w:rPr>
          <w:rFonts w:ascii="黑体" w:eastAsia="黑体" w:hint="eastAsia"/>
          <w:sz w:val="24"/>
        </w:rPr>
        <w:t>证券市场法律制度环境</w:t>
      </w:r>
    </w:p>
    <w:p w14:paraId="38566CE3" w14:textId="77777777" w:rsidR="00A54666" w:rsidRPr="00800D22" w:rsidRDefault="00A54666" w:rsidP="00A54666">
      <w:pPr>
        <w:spacing w:line="440" w:lineRule="exact"/>
        <w:ind w:firstLineChars="200" w:firstLine="480"/>
        <w:rPr>
          <w:sz w:val="24"/>
        </w:rPr>
      </w:pPr>
      <w:r w:rsidRPr="00800D22">
        <w:rPr>
          <w:rFonts w:eastAsia="新宋体"/>
          <w:sz w:val="24"/>
        </w:rPr>
        <w:t>英国证券业长期处于自律管理的体制下，政府很少对证券业进行干预。到了</w:t>
      </w:r>
      <w:r w:rsidRPr="00800D22">
        <w:rPr>
          <w:rFonts w:eastAsia="新宋体"/>
          <w:sz w:val="24"/>
        </w:rPr>
        <w:t>20</w:t>
      </w:r>
      <w:r w:rsidRPr="00800D22">
        <w:rPr>
          <w:rFonts w:eastAsia="新宋体"/>
          <w:sz w:val="24"/>
        </w:rPr>
        <w:t>世纪</w:t>
      </w:r>
      <w:r w:rsidRPr="00800D22">
        <w:rPr>
          <w:rFonts w:eastAsia="新宋体"/>
          <w:sz w:val="24"/>
        </w:rPr>
        <w:t>30</w:t>
      </w:r>
      <w:r w:rsidRPr="00800D22">
        <w:rPr>
          <w:rFonts w:eastAsia="新宋体"/>
          <w:sz w:val="24"/>
        </w:rPr>
        <w:t>年代，情况开始改变，随着股票交易丑闻的不断发生和单位</w:t>
      </w:r>
      <w:r w:rsidRPr="00800D22">
        <w:rPr>
          <w:sz w:val="24"/>
        </w:rPr>
        <w:t>信托的不断发展，英国政府逐步加强对证券业的立法管理。</w:t>
      </w:r>
      <w:r w:rsidRPr="00800D22">
        <w:rPr>
          <w:sz w:val="24"/>
        </w:rPr>
        <w:t>1939</w:t>
      </w:r>
      <w:r w:rsidRPr="00800D22">
        <w:rPr>
          <w:sz w:val="24"/>
        </w:rPr>
        <w:t>年制定了《防止诈骗投资法》</w:t>
      </w:r>
      <w:r w:rsidRPr="00800D22">
        <w:rPr>
          <w:rFonts w:hint="eastAsia"/>
          <w:sz w:val="24"/>
        </w:rPr>
        <w:t>(</w:t>
      </w:r>
      <w:r w:rsidRPr="00800D22">
        <w:rPr>
          <w:sz w:val="24"/>
        </w:rPr>
        <w:t>Prevention of Fraud (Investments) Act 1939</w:t>
      </w:r>
      <w:r w:rsidRPr="00800D22">
        <w:rPr>
          <w:rFonts w:hint="eastAsia"/>
          <w:sz w:val="24"/>
        </w:rPr>
        <w:t>)</w:t>
      </w:r>
      <w:r w:rsidRPr="00800D22">
        <w:rPr>
          <w:sz w:val="24"/>
        </w:rPr>
        <w:t>，</w:t>
      </w:r>
      <w:r w:rsidRPr="00800D22">
        <w:rPr>
          <w:sz w:val="24"/>
        </w:rPr>
        <w:t>1944</w:t>
      </w:r>
      <w:r w:rsidRPr="00800D22">
        <w:rPr>
          <w:sz w:val="24"/>
        </w:rPr>
        <w:t>年颁布了《投资业务管理法》</w:t>
      </w:r>
      <w:r w:rsidRPr="00800D22">
        <w:rPr>
          <w:rFonts w:hint="eastAsia"/>
          <w:sz w:val="24"/>
        </w:rPr>
        <w:t>(</w:t>
      </w:r>
      <w:r w:rsidRPr="00800D22">
        <w:rPr>
          <w:sz w:val="24"/>
        </w:rPr>
        <w:t>British Investment Management Law</w:t>
      </w:r>
      <w:r w:rsidRPr="00800D22">
        <w:rPr>
          <w:rFonts w:hint="eastAsia"/>
          <w:sz w:val="24"/>
        </w:rPr>
        <w:t>)</w:t>
      </w:r>
      <w:r w:rsidRPr="00800D22">
        <w:rPr>
          <w:sz w:val="24"/>
        </w:rPr>
        <w:t>，此后又先后通过了《</w:t>
      </w:r>
      <w:r w:rsidRPr="00800D22">
        <w:rPr>
          <w:sz w:val="24"/>
        </w:rPr>
        <w:t>1973</w:t>
      </w:r>
      <w:r w:rsidRPr="00800D22">
        <w:rPr>
          <w:sz w:val="24"/>
        </w:rPr>
        <w:t>年公司法》</w:t>
      </w:r>
      <w:r w:rsidRPr="00800D22">
        <w:rPr>
          <w:rFonts w:hint="eastAsia"/>
          <w:sz w:val="24"/>
        </w:rPr>
        <w:t>（</w:t>
      </w:r>
      <w:r w:rsidRPr="00800D22">
        <w:rPr>
          <w:rFonts w:hint="eastAsia"/>
          <w:sz w:val="24"/>
        </w:rPr>
        <w:t>The Company Act 1973</w:t>
      </w:r>
      <w:r w:rsidRPr="00800D22">
        <w:rPr>
          <w:rFonts w:hint="eastAsia"/>
          <w:sz w:val="24"/>
        </w:rPr>
        <w:t>）</w:t>
      </w:r>
      <w:r w:rsidRPr="00800D22">
        <w:rPr>
          <w:sz w:val="24"/>
        </w:rPr>
        <w:t>、《</w:t>
      </w:r>
      <w:r w:rsidRPr="00800D22">
        <w:rPr>
          <w:sz w:val="24"/>
        </w:rPr>
        <w:t>1976</w:t>
      </w:r>
      <w:r w:rsidRPr="00800D22">
        <w:rPr>
          <w:sz w:val="24"/>
        </w:rPr>
        <w:t>年限制性交易实践法》</w:t>
      </w:r>
      <w:r w:rsidRPr="00800D22">
        <w:rPr>
          <w:rFonts w:hint="eastAsia"/>
          <w:sz w:val="24"/>
        </w:rPr>
        <w:t>(</w:t>
      </w:r>
      <w:r w:rsidRPr="00800D22">
        <w:rPr>
          <w:sz w:val="24"/>
        </w:rPr>
        <w:t>Restrictive Trade Practices Act 1976</w:t>
      </w:r>
      <w:r w:rsidRPr="00800D22">
        <w:rPr>
          <w:rFonts w:hint="eastAsia"/>
          <w:sz w:val="24"/>
        </w:rPr>
        <w:t>)</w:t>
      </w:r>
      <w:r w:rsidRPr="00800D22">
        <w:rPr>
          <w:sz w:val="24"/>
        </w:rPr>
        <w:t>、《</w:t>
      </w:r>
      <w:r w:rsidRPr="00800D22">
        <w:rPr>
          <w:sz w:val="24"/>
        </w:rPr>
        <w:t>1985</w:t>
      </w:r>
      <w:r w:rsidRPr="00800D22">
        <w:rPr>
          <w:sz w:val="24"/>
        </w:rPr>
        <w:t>年公司法》</w:t>
      </w:r>
      <w:r w:rsidRPr="00800D22">
        <w:rPr>
          <w:rFonts w:hint="eastAsia"/>
          <w:sz w:val="24"/>
        </w:rPr>
        <w:t>(</w:t>
      </w:r>
      <w:r w:rsidRPr="00800D22">
        <w:rPr>
          <w:sz w:val="24"/>
        </w:rPr>
        <w:t>Companies Act 1985</w:t>
      </w:r>
      <w:r w:rsidRPr="00800D22">
        <w:rPr>
          <w:rFonts w:hint="eastAsia"/>
          <w:sz w:val="24"/>
        </w:rPr>
        <w:t>)</w:t>
      </w:r>
      <w:r w:rsidRPr="00800D22">
        <w:rPr>
          <w:sz w:val="24"/>
        </w:rPr>
        <w:t>等，对证券市场中所存在的不足之处不断进行改进。</w:t>
      </w:r>
    </w:p>
    <w:p w14:paraId="669C1103" w14:textId="77777777" w:rsidR="00A54666" w:rsidRPr="00800D22" w:rsidRDefault="00A54666" w:rsidP="00A54666">
      <w:pPr>
        <w:spacing w:line="440" w:lineRule="exact"/>
        <w:ind w:firstLineChars="200" w:firstLine="480"/>
        <w:rPr>
          <w:sz w:val="24"/>
        </w:rPr>
      </w:pPr>
      <w:r w:rsidRPr="00800D22">
        <w:rPr>
          <w:sz w:val="24"/>
        </w:rPr>
        <w:t>受</w:t>
      </w:r>
      <w:r w:rsidRPr="00800D22">
        <w:rPr>
          <w:rFonts w:hint="eastAsia"/>
          <w:sz w:val="24"/>
        </w:rPr>
        <w:t>20</w:t>
      </w:r>
      <w:r w:rsidRPr="00800D22">
        <w:rPr>
          <w:rFonts w:hint="eastAsia"/>
          <w:sz w:val="24"/>
        </w:rPr>
        <w:t>世纪</w:t>
      </w:r>
      <w:r w:rsidRPr="00800D22">
        <w:rPr>
          <w:sz w:val="24"/>
        </w:rPr>
        <w:t>80</w:t>
      </w:r>
      <w:r w:rsidRPr="00800D22">
        <w:rPr>
          <w:sz w:val="24"/>
        </w:rPr>
        <w:t>年代各国出现的金融改革浪潮和美、</w:t>
      </w:r>
      <w:proofErr w:type="gramStart"/>
      <w:r w:rsidRPr="00800D22">
        <w:rPr>
          <w:sz w:val="24"/>
        </w:rPr>
        <w:t>日证券</w:t>
      </w:r>
      <w:proofErr w:type="gramEnd"/>
      <w:r w:rsidRPr="00800D22">
        <w:rPr>
          <w:sz w:val="24"/>
        </w:rPr>
        <w:t>业的影响，英国于</w:t>
      </w:r>
      <w:r w:rsidRPr="00800D22">
        <w:rPr>
          <w:sz w:val="24"/>
        </w:rPr>
        <w:t>1986</w:t>
      </w:r>
      <w:r w:rsidRPr="00800D22">
        <w:rPr>
          <w:sz w:val="24"/>
        </w:rPr>
        <w:t>年对证券市场进行了一次大规模的全面改革，出台了《金融服务法》</w:t>
      </w:r>
      <w:r w:rsidRPr="00800D22">
        <w:rPr>
          <w:rFonts w:hint="eastAsia"/>
          <w:sz w:val="24"/>
        </w:rPr>
        <w:t>（</w:t>
      </w:r>
      <w:r w:rsidRPr="00800D22">
        <w:rPr>
          <w:sz w:val="24"/>
        </w:rPr>
        <w:t>Financial Services Act 1986</w:t>
      </w:r>
      <w:r w:rsidRPr="00800D22">
        <w:rPr>
          <w:rFonts w:hint="eastAsia"/>
          <w:sz w:val="24"/>
        </w:rPr>
        <w:t>）</w:t>
      </w:r>
      <w:r w:rsidRPr="00800D22">
        <w:rPr>
          <w:sz w:val="24"/>
        </w:rPr>
        <w:t>，建立了相应的管理体制。这一法案改变了既存法案中的一些过时的规定，主要目的在于对金融服务业进行有效规范，保护投资者利益，促进国际竞争。根据《金融服务法》建立起的新的立法监管体系，政府加大了对证券市场的干预力度；而另一方面，《金融服务法》又对英国证券业传统的自律监管予以了法律上的确认。从根本上看，这部法律依然遵循了英国证券市场自律管理的传统，同时对保护投资者的利益、维护证券市场的稳定</w:t>
      </w:r>
      <w:r w:rsidRPr="00800D22">
        <w:rPr>
          <w:rFonts w:hint="eastAsia"/>
          <w:sz w:val="24"/>
        </w:rPr>
        <w:t>和</w:t>
      </w:r>
      <w:r w:rsidRPr="00800D22">
        <w:rPr>
          <w:sz w:val="24"/>
        </w:rPr>
        <w:t>促进英国</w:t>
      </w:r>
      <w:r w:rsidRPr="00800D22">
        <w:rPr>
          <w:sz w:val="24"/>
        </w:rPr>
        <w:lastRenderedPageBreak/>
        <w:t>证券市场繁荣发展起到了积极的作用。</w:t>
      </w:r>
    </w:p>
    <w:p w14:paraId="0C45840C" w14:textId="77777777" w:rsidR="00A54666" w:rsidRPr="00800D22" w:rsidRDefault="00A54666" w:rsidP="00A54666">
      <w:pPr>
        <w:spacing w:line="440" w:lineRule="exact"/>
        <w:ind w:firstLineChars="200" w:firstLine="480"/>
        <w:rPr>
          <w:sz w:val="24"/>
        </w:rPr>
      </w:pPr>
      <w:r w:rsidRPr="00800D22">
        <w:rPr>
          <w:sz w:val="24"/>
        </w:rPr>
        <w:t>为了充分发挥《金融服务法》的作用，英国专门成立了证券与投资委员会（</w:t>
      </w:r>
      <w:r w:rsidRPr="00800D22">
        <w:rPr>
          <w:sz w:val="24"/>
        </w:rPr>
        <w:t>Securities and Investment Board</w:t>
      </w:r>
      <w:r w:rsidRPr="00800D22">
        <w:rPr>
          <w:rFonts w:hint="eastAsia"/>
          <w:sz w:val="24"/>
        </w:rPr>
        <w:t>，</w:t>
      </w:r>
      <w:r w:rsidRPr="00800D22">
        <w:rPr>
          <w:sz w:val="24"/>
        </w:rPr>
        <w:t>简称</w:t>
      </w:r>
      <w:r w:rsidRPr="00800D22">
        <w:rPr>
          <w:rFonts w:hint="eastAsia"/>
          <w:sz w:val="24"/>
        </w:rPr>
        <w:t>“</w:t>
      </w:r>
      <w:r w:rsidRPr="00800D22">
        <w:rPr>
          <w:sz w:val="24"/>
        </w:rPr>
        <w:t>SIB</w:t>
      </w:r>
      <w:r w:rsidRPr="00800D22">
        <w:rPr>
          <w:rFonts w:hint="eastAsia"/>
          <w:sz w:val="24"/>
        </w:rPr>
        <w:t>”</w:t>
      </w:r>
      <w:r w:rsidRPr="00800D22">
        <w:rPr>
          <w:sz w:val="24"/>
        </w:rPr>
        <w:t>）来具体实施和执行该法规。根据《金融服务法》的规定，</w:t>
      </w:r>
      <w:r w:rsidRPr="00800D22">
        <w:rPr>
          <w:sz w:val="24"/>
        </w:rPr>
        <w:t>SIB</w:t>
      </w:r>
      <w:r w:rsidRPr="00800D22">
        <w:rPr>
          <w:sz w:val="24"/>
        </w:rPr>
        <w:t>并非政府机构，而是一个有保证限制的私人公司。但在执法实践中，</w:t>
      </w:r>
      <w:r w:rsidRPr="00800D22">
        <w:rPr>
          <w:sz w:val="24"/>
        </w:rPr>
        <w:t>SIB</w:t>
      </w:r>
      <w:r w:rsidRPr="00800D22">
        <w:rPr>
          <w:sz w:val="24"/>
        </w:rPr>
        <w:t>却行使了政府监管证券市场的大部分职能，这其中存在着一种复杂而精妙的权力转让机制。</w:t>
      </w:r>
      <w:r w:rsidRPr="00800D22">
        <w:rPr>
          <w:sz w:val="24"/>
        </w:rPr>
        <w:t>SIB</w:t>
      </w:r>
      <w:r w:rsidRPr="00800D22">
        <w:rPr>
          <w:sz w:val="24"/>
        </w:rPr>
        <w:t>的主要任务是保护投资者利益，促进证券市场高效发展。它在执法过程中的主要任务是按照法律规定的要求制定法规实施细则，以便使法律上所阐明的投资保护条款具体化，用以指导投资行为。尽管</w:t>
      </w:r>
      <w:r w:rsidRPr="00800D22">
        <w:rPr>
          <w:sz w:val="24"/>
        </w:rPr>
        <w:t>SIB</w:t>
      </w:r>
      <w:r w:rsidRPr="00800D22">
        <w:rPr>
          <w:sz w:val="24"/>
        </w:rPr>
        <w:t>能够行使政府职能，但与美国的</w:t>
      </w:r>
      <w:r w:rsidRPr="00800D22">
        <w:rPr>
          <w:sz w:val="24"/>
        </w:rPr>
        <w:t>SEC</w:t>
      </w:r>
      <w:r w:rsidRPr="00800D22">
        <w:rPr>
          <w:sz w:val="24"/>
        </w:rPr>
        <w:t>相比，</w:t>
      </w:r>
      <w:r w:rsidRPr="00800D22">
        <w:rPr>
          <w:sz w:val="24"/>
        </w:rPr>
        <w:t>SIB</w:t>
      </w:r>
      <w:r w:rsidRPr="00800D22">
        <w:rPr>
          <w:sz w:val="24"/>
        </w:rPr>
        <w:t>的权限要小得多</w:t>
      </w:r>
      <w:r w:rsidRPr="00800D22">
        <w:rPr>
          <w:rFonts w:hint="eastAsia"/>
          <w:sz w:val="24"/>
        </w:rPr>
        <w:t>，</w:t>
      </w:r>
      <w:r w:rsidRPr="00800D22">
        <w:rPr>
          <w:sz w:val="24"/>
        </w:rPr>
        <w:t>并且在实践中，</w:t>
      </w:r>
      <w:r w:rsidRPr="00800D22">
        <w:rPr>
          <w:sz w:val="24"/>
        </w:rPr>
        <w:t>SIB</w:t>
      </w:r>
      <w:r w:rsidRPr="00800D22">
        <w:rPr>
          <w:sz w:val="24"/>
        </w:rPr>
        <w:t>很少单独完成某项监管工作，往往是联合一些行业自律机构来共同发挥作用。英国证券监管中的这种立法</w:t>
      </w:r>
      <w:r w:rsidRPr="00800D22">
        <w:rPr>
          <w:rFonts w:hint="eastAsia"/>
          <w:sz w:val="24"/>
        </w:rPr>
        <w:t>和</w:t>
      </w:r>
      <w:r w:rsidRPr="00800D22">
        <w:rPr>
          <w:sz w:val="24"/>
        </w:rPr>
        <w:t>执法结构，反映了英国既要顾及到自律监管的传统，同时又要迎合当代证券监管的新潮流。</w:t>
      </w:r>
    </w:p>
    <w:p w14:paraId="61E77FAC" w14:textId="27C9FBA4" w:rsidR="00A54666" w:rsidRPr="00800D22" w:rsidRDefault="00A54666" w:rsidP="00A54666">
      <w:pPr>
        <w:spacing w:line="440" w:lineRule="exact"/>
        <w:ind w:firstLineChars="200" w:firstLine="480"/>
        <w:outlineLvl w:val="3"/>
        <w:rPr>
          <w:rFonts w:ascii="黑体" w:eastAsia="黑体" w:hint="eastAsia"/>
          <w:sz w:val="24"/>
        </w:rPr>
      </w:pPr>
      <w:r>
        <w:rPr>
          <w:rFonts w:ascii="黑体" w:eastAsia="黑体" w:hint="eastAsia"/>
          <w:sz w:val="24"/>
        </w:rPr>
        <w:t>2.</w:t>
      </w:r>
      <w:r w:rsidRPr="00800D22">
        <w:rPr>
          <w:rFonts w:ascii="黑体" w:eastAsia="黑体" w:hint="eastAsia"/>
          <w:sz w:val="24"/>
        </w:rPr>
        <w:t>增信体系法律制度环境</w:t>
      </w:r>
    </w:p>
    <w:p w14:paraId="0919D5FC" w14:textId="77777777" w:rsidR="00A54666" w:rsidRPr="00800D22" w:rsidRDefault="00A54666" w:rsidP="00A54666">
      <w:pPr>
        <w:spacing w:line="440" w:lineRule="exact"/>
        <w:ind w:firstLineChars="200" w:firstLine="480"/>
        <w:rPr>
          <w:rFonts w:hint="eastAsia"/>
          <w:kern w:val="0"/>
          <w:sz w:val="24"/>
        </w:rPr>
      </w:pPr>
      <w:r w:rsidRPr="00800D22">
        <w:rPr>
          <w:kern w:val="0"/>
          <w:sz w:val="24"/>
        </w:rPr>
        <w:t>英国债券市场崇尚</w:t>
      </w:r>
      <w:r w:rsidRPr="00800D22">
        <w:rPr>
          <w:rFonts w:hint="eastAsia"/>
          <w:kern w:val="0"/>
          <w:sz w:val="24"/>
        </w:rPr>
        <w:t>以</w:t>
      </w:r>
      <w:r w:rsidRPr="00800D22">
        <w:rPr>
          <w:kern w:val="0"/>
          <w:sz w:val="24"/>
        </w:rPr>
        <w:t>行业自律为主、政府监管为辅的监管理念。政府监管机构金融服务局对公司发债没有强制担保的要求。如果发</w:t>
      </w:r>
      <w:r w:rsidRPr="00800D22">
        <w:rPr>
          <w:rFonts w:hint="eastAsia"/>
          <w:kern w:val="0"/>
          <w:sz w:val="24"/>
        </w:rPr>
        <w:t>行</w:t>
      </w:r>
      <w:r w:rsidRPr="00800D22">
        <w:rPr>
          <w:kern w:val="0"/>
          <w:sz w:val="24"/>
        </w:rPr>
        <w:t>人本身信誉不高，担心债券</w:t>
      </w:r>
      <w:r w:rsidRPr="00800D22">
        <w:rPr>
          <w:rFonts w:hint="eastAsia"/>
          <w:kern w:val="0"/>
          <w:sz w:val="24"/>
        </w:rPr>
        <w:t>难以发行</w:t>
      </w:r>
      <w:r w:rsidRPr="00800D22">
        <w:rPr>
          <w:kern w:val="0"/>
          <w:sz w:val="24"/>
        </w:rPr>
        <w:t>，发</w:t>
      </w:r>
      <w:r w:rsidRPr="00800D22">
        <w:rPr>
          <w:rFonts w:hint="eastAsia"/>
          <w:kern w:val="0"/>
          <w:sz w:val="24"/>
        </w:rPr>
        <w:t>行</w:t>
      </w:r>
      <w:r w:rsidRPr="00800D22">
        <w:rPr>
          <w:kern w:val="0"/>
          <w:sz w:val="24"/>
        </w:rPr>
        <w:t>人可以寻求银行或企业担保，以提高信用评级。</w:t>
      </w:r>
      <w:r w:rsidRPr="00800D22">
        <w:rPr>
          <w:rFonts w:hint="eastAsia"/>
          <w:kern w:val="0"/>
          <w:sz w:val="24"/>
        </w:rPr>
        <w:t>发行人</w:t>
      </w:r>
      <w:r w:rsidRPr="00800D22">
        <w:rPr>
          <w:kern w:val="0"/>
          <w:sz w:val="24"/>
        </w:rPr>
        <w:t>也可以以资产作为抵押来提高信用级别。同时，对于信用债券，</w:t>
      </w:r>
      <w:r w:rsidRPr="00800D22">
        <w:rPr>
          <w:sz w:val="24"/>
        </w:rPr>
        <w:t>一般都要进行信用评级，否则很难得到投资者的认可，或者要加大发行的成本。金融服务局也不规定发债的最低信用等级</w:t>
      </w:r>
      <w:r w:rsidRPr="00800D22">
        <w:rPr>
          <w:rFonts w:hint="eastAsia"/>
          <w:sz w:val="24"/>
        </w:rPr>
        <w:t>，</w:t>
      </w:r>
      <w:r w:rsidRPr="00800D22">
        <w:rPr>
          <w:sz w:val="24"/>
        </w:rPr>
        <w:t>不管是</w:t>
      </w:r>
      <w:r w:rsidRPr="00800D22">
        <w:rPr>
          <w:sz w:val="24"/>
        </w:rPr>
        <w:t> AAA</w:t>
      </w:r>
      <w:r w:rsidRPr="00800D22">
        <w:rPr>
          <w:sz w:val="24"/>
        </w:rPr>
        <w:t>级还是</w:t>
      </w:r>
      <w:r w:rsidRPr="00800D22">
        <w:rPr>
          <w:sz w:val="24"/>
        </w:rPr>
        <w:t>BBB</w:t>
      </w:r>
      <w:r w:rsidRPr="00800D22">
        <w:rPr>
          <w:sz w:val="24"/>
        </w:rPr>
        <w:t>级，甚至无等级，只要有人愿意投资，就都可以发债。</w:t>
      </w:r>
      <w:r w:rsidRPr="00800D22">
        <w:rPr>
          <w:kern w:val="0"/>
          <w:sz w:val="24"/>
        </w:rPr>
        <w:t>因此，相对于美国，英国债券市场发展相对自由，其整个增信</w:t>
      </w:r>
      <w:r w:rsidRPr="00800D22">
        <w:rPr>
          <w:rFonts w:hint="eastAsia"/>
          <w:kern w:val="0"/>
          <w:sz w:val="24"/>
        </w:rPr>
        <w:t>体系</w:t>
      </w:r>
      <w:r w:rsidRPr="00800D22">
        <w:rPr>
          <w:kern w:val="0"/>
          <w:sz w:val="24"/>
        </w:rPr>
        <w:t>是派生于债券市场发展的，是完全自发的行为。</w:t>
      </w:r>
    </w:p>
    <w:p w14:paraId="3F32D89F" w14:textId="77777777" w:rsidR="00A54666" w:rsidRPr="00800D22" w:rsidRDefault="00A54666" w:rsidP="00A54666">
      <w:pPr>
        <w:spacing w:line="440" w:lineRule="exact"/>
        <w:ind w:firstLineChars="200" w:firstLine="480"/>
        <w:rPr>
          <w:rFonts w:eastAsia="新宋体"/>
          <w:kern w:val="0"/>
          <w:sz w:val="24"/>
        </w:rPr>
      </w:pPr>
      <w:r w:rsidRPr="00800D22">
        <w:rPr>
          <w:rFonts w:eastAsia="新宋体"/>
          <w:kern w:val="0"/>
          <w:sz w:val="24"/>
        </w:rPr>
        <w:t>与美国担保体系一样，英国也确立了浮动担保法律制度，该制度已成为英国企业融资中的一种重要的企业融资担保制度。浮动担保是设定在公司部分或所有现在和将来财产上的平衡担保，此种担保赋予了公司在正常经营过程中自行处分从属于担保的财产的权利。</w:t>
      </w:r>
    </w:p>
    <w:p w14:paraId="1CAD2ED2" w14:textId="77777777" w:rsidR="00A54666" w:rsidRPr="00800D22" w:rsidRDefault="00A54666" w:rsidP="00A54666">
      <w:pPr>
        <w:spacing w:line="440" w:lineRule="exact"/>
        <w:ind w:firstLineChars="200" w:firstLine="480"/>
        <w:rPr>
          <w:rFonts w:eastAsia="新宋体"/>
          <w:sz w:val="24"/>
        </w:rPr>
      </w:pPr>
      <w:r w:rsidRPr="00800D22">
        <w:rPr>
          <w:rFonts w:eastAsia="新宋体" w:hint="eastAsia"/>
          <w:sz w:val="24"/>
        </w:rPr>
        <w:t>在英国</w:t>
      </w:r>
      <w:r w:rsidRPr="00800D22">
        <w:rPr>
          <w:rFonts w:eastAsia="新宋体"/>
          <w:sz w:val="24"/>
        </w:rPr>
        <w:t>，只有公司才能使用浮动担保作为借款的担保。浮动担保的标的物包括企业现有的和将来取得的财产，但不包括以卖方保留所有权条件出售给借款人的货物。借款人在出现违约事件或公司清算</w:t>
      </w:r>
      <w:r w:rsidRPr="00800D22">
        <w:rPr>
          <w:rFonts w:eastAsia="新宋体" w:hint="eastAsia"/>
          <w:sz w:val="24"/>
        </w:rPr>
        <w:t>和</w:t>
      </w:r>
      <w:r w:rsidRPr="00800D22">
        <w:rPr>
          <w:rFonts w:eastAsia="新宋体"/>
          <w:sz w:val="24"/>
        </w:rPr>
        <w:t>解散以前，有权自由处分公司的资产，但借贷双方也可以在设定浮动担保时在合同中规定，借款人不得在公司资产上设定其他担保权益，并将此项限制条款连同浮动担保合同一起向公司登记处办理登记。英国的浮动担保有两种：一种是有限的浮动担保，即仅以公司的某一类</w:t>
      </w:r>
      <w:r w:rsidRPr="00800D22">
        <w:rPr>
          <w:rFonts w:eastAsia="新宋体"/>
          <w:sz w:val="24"/>
        </w:rPr>
        <w:lastRenderedPageBreak/>
        <w:t>资产作为担保，如原料、库存或应收款项等；另一种是总的浮动担保，即以公司的全部资产作为担保。</w:t>
      </w:r>
    </w:p>
    <w:p w14:paraId="3AE9E6B6" w14:textId="77777777" w:rsidR="00A54666" w:rsidRPr="00800D22" w:rsidRDefault="00A54666" w:rsidP="00A54666">
      <w:pPr>
        <w:spacing w:line="440" w:lineRule="exact"/>
        <w:ind w:firstLineChars="200" w:firstLine="480"/>
        <w:rPr>
          <w:rFonts w:eastAsia="新宋体" w:hint="eastAsia"/>
          <w:kern w:val="0"/>
          <w:sz w:val="24"/>
        </w:rPr>
      </w:pPr>
      <w:r w:rsidRPr="00800D22">
        <w:rPr>
          <w:rFonts w:eastAsia="新宋体"/>
          <w:kern w:val="0"/>
          <w:sz w:val="24"/>
        </w:rPr>
        <w:t>与固定担保相比，浮动担保的客体是不确定的，债权人不能行使对债务人的财产占有或任何旨在对抗第三人的财产权利，也不能请求法院颁布禁令禁止债务人在正常经营过程中与第三人交易以及对财产进行处分。英国浮动担保的目的就是要达到在不损害债权人担保利益的情况下，又能让债务人自由地开展正常营业的这种效果。</w:t>
      </w:r>
    </w:p>
    <w:p w14:paraId="3A44A557" w14:textId="77777777" w:rsidR="00A54666" w:rsidRPr="00800D22" w:rsidRDefault="00A54666" w:rsidP="00A54666">
      <w:pPr>
        <w:spacing w:line="440" w:lineRule="exact"/>
        <w:ind w:firstLineChars="200" w:firstLine="480"/>
        <w:rPr>
          <w:rFonts w:hint="eastAsia"/>
          <w:sz w:val="24"/>
        </w:rPr>
      </w:pPr>
      <w:r w:rsidRPr="00800D22">
        <w:rPr>
          <w:sz w:val="24"/>
        </w:rPr>
        <w:t>综合来看，英国相对宽松的法律制度环境，给增信方式的创新提供了广阔的市场空间。</w:t>
      </w:r>
    </w:p>
    <w:p w14:paraId="7687D08C" w14:textId="332322E6" w:rsidR="00A54666" w:rsidRPr="00800D22" w:rsidRDefault="00A54666" w:rsidP="00A54666">
      <w:pPr>
        <w:pStyle w:val="3"/>
        <w:adjustRightInd w:val="0"/>
        <w:spacing w:beforeLines="50" w:before="156" w:afterLines="50" w:after="156" w:line="440" w:lineRule="exact"/>
        <w:jc w:val="left"/>
        <w:rPr>
          <w:rFonts w:ascii="黑体" w:eastAsia="黑体"/>
          <w:b/>
          <w:sz w:val="28"/>
          <w:szCs w:val="28"/>
        </w:rPr>
      </w:pPr>
      <w:bookmarkStart w:id="14" w:name="_Toc238267510"/>
      <w:bookmarkStart w:id="15" w:name="_Toc238701441"/>
      <w:bookmarkStart w:id="16" w:name="_Toc239689217"/>
      <w:bookmarkStart w:id="17" w:name="_Toc247869836"/>
      <w:bookmarkStart w:id="18" w:name="_Toc256506271"/>
      <w:r>
        <w:rPr>
          <w:rFonts w:ascii="黑体" w:eastAsia="黑体" w:hint="eastAsia"/>
          <w:b/>
          <w:sz w:val="28"/>
          <w:szCs w:val="28"/>
        </w:rPr>
        <w:t>三、</w:t>
      </w:r>
      <w:r w:rsidRPr="00800D22">
        <w:rPr>
          <w:rFonts w:ascii="黑体" w:eastAsia="黑体"/>
          <w:b/>
          <w:sz w:val="28"/>
          <w:szCs w:val="28"/>
        </w:rPr>
        <w:t>增信手段</w:t>
      </w:r>
      <w:bookmarkEnd w:id="14"/>
      <w:bookmarkEnd w:id="15"/>
      <w:bookmarkEnd w:id="16"/>
      <w:bookmarkEnd w:id="17"/>
      <w:bookmarkEnd w:id="18"/>
    </w:p>
    <w:p w14:paraId="535871CF" w14:textId="3C0FA426" w:rsidR="00A54666" w:rsidRPr="00800D22" w:rsidRDefault="00A54666" w:rsidP="00A54666">
      <w:pPr>
        <w:spacing w:line="440" w:lineRule="exact"/>
        <w:ind w:firstLineChars="200" w:firstLine="480"/>
        <w:outlineLvl w:val="3"/>
        <w:rPr>
          <w:rFonts w:ascii="黑体" w:eastAsia="黑体"/>
          <w:sz w:val="24"/>
        </w:rPr>
      </w:pPr>
      <w:r>
        <w:rPr>
          <w:rFonts w:ascii="黑体" w:eastAsia="黑体" w:hint="eastAsia"/>
          <w:sz w:val="24"/>
        </w:rPr>
        <w:t>1.</w:t>
      </w:r>
      <w:r w:rsidRPr="00800D22">
        <w:rPr>
          <w:rFonts w:ascii="黑体" w:eastAsia="黑体"/>
          <w:sz w:val="24"/>
        </w:rPr>
        <w:t>债券信托</w:t>
      </w:r>
    </w:p>
    <w:p w14:paraId="03130239" w14:textId="77777777" w:rsidR="00A54666" w:rsidRPr="00800D22" w:rsidRDefault="00A54666" w:rsidP="00A54666">
      <w:pPr>
        <w:autoSpaceDE w:val="0"/>
        <w:autoSpaceDN w:val="0"/>
        <w:spacing w:line="440" w:lineRule="exact"/>
        <w:ind w:firstLineChars="200" w:firstLine="480"/>
        <w:jc w:val="left"/>
        <w:rPr>
          <w:rFonts w:eastAsia="新宋体"/>
          <w:kern w:val="0"/>
          <w:sz w:val="24"/>
        </w:rPr>
      </w:pPr>
      <w:r w:rsidRPr="00800D22">
        <w:rPr>
          <w:rFonts w:eastAsia="新宋体"/>
          <w:kern w:val="0"/>
          <w:sz w:val="24"/>
        </w:rPr>
        <w:t>英国公司债券市场份额较少，虽然近几年得到了一定的发展，但</w:t>
      </w:r>
      <w:r w:rsidRPr="00800D22">
        <w:rPr>
          <w:kern w:val="0"/>
          <w:sz w:val="24"/>
        </w:rPr>
        <w:t>截至</w:t>
      </w:r>
      <w:r w:rsidRPr="00800D22">
        <w:rPr>
          <w:kern w:val="0"/>
          <w:sz w:val="24"/>
        </w:rPr>
        <w:t>2008</w:t>
      </w:r>
      <w:r w:rsidRPr="00800D22">
        <w:rPr>
          <w:kern w:val="0"/>
          <w:sz w:val="24"/>
        </w:rPr>
        <w:t>年末，市场份额仅为</w:t>
      </w:r>
      <w:r w:rsidRPr="00800D22">
        <w:rPr>
          <w:kern w:val="0"/>
          <w:sz w:val="24"/>
        </w:rPr>
        <w:t>1.54%</w:t>
      </w:r>
      <w:r w:rsidRPr="00800D22">
        <w:rPr>
          <w:kern w:val="0"/>
          <w:sz w:val="24"/>
        </w:rPr>
        <w:t>，远低于美国</w:t>
      </w:r>
      <w:r w:rsidRPr="00800D22">
        <w:rPr>
          <w:rFonts w:hint="eastAsia"/>
          <w:kern w:val="0"/>
          <w:sz w:val="24"/>
        </w:rPr>
        <w:t>及其它</w:t>
      </w:r>
      <w:r w:rsidRPr="00800D22">
        <w:rPr>
          <w:kern w:val="0"/>
          <w:sz w:val="24"/>
        </w:rPr>
        <w:t>发达国家。</w:t>
      </w:r>
      <w:r w:rsidRPr="00800D22">
        <w:rPr>
          <w:rFonts w:eastAsia="新宋体"/>
          <w:kern w:val="0"/>
          <w:sz w:val="24"/>
        </w:rPr>
        <w:t>在增信方式上主要采取了公司债券信托的方式。</w:t>
      </w:r>
    </w:p>
    <w:p w14:paraId="0B48E707" w14:textId="77777777" w:rsidR="00A54666" w:rsidRPr="00800D22" w:rsidRDefault="00A54666" w:rsidP="00A54666">
      <w:pPr>
        <w:autoSpaceDE w:val="0"/>
        <w:autoSpaceDN w:val="0"/>
        <w:spacing w:line="440" w:lineRule="exact"/>
        <w:ind w:firstLineChars="200" w:firstLine="480"/>
        <w:jc w:val="left"/>
        <w:rPr>
          <w:rFonts w:eastAsia="新宋体"/>
          <w:kern w:val="0"/>
          <w:sz w:val="24"/>
        </w:rPr>
      </w:pPr>
      <w:r w:rsidRPr="00800D22">
        <w:rPr>
          <w:rFonts w:eastAsia="新宋体"/>
          <w:kern w:val="0"/>
          <w:sz w:val="24"/>
        </w:rPr>
        <w:t>英国是信托业的发源地，英国</w:t>
      </w:r>
      <w:r w:rsidRPr="00800D22">
        <w:rPr>
          <w:sz w:val="24"/>
        </w:rPr>
        <w:t>信托的内容多是民事信托和公益信托，信托标的物以房屋</w:t>
      </w:r>
      <w:r w:rsidRPr="00800D22">
        <w:rPr>
          <w:rFonts w:hint="eastAsia"/>
          <w:sz w:val="24"/>
        </w:rPr>
        <w:t>和</w:t>
      </w:r>
      <w:r w:rsidRPr="00800D22">
        <w:rPr>
          <w:sz w:val="24"/>
        </w:rPr>
        <w:t>土地等不动产为主，这是英国传统习惯的延续</w:t>
      </w:r>
      <w:r w:rsidRPr="00800D22">
        <w:rPr>
          <w:rFonts w:hint="eastAsia"/>
          <w:sz w:val="24"/>
        </w:rPr>
        <w:t>。</w:t>
      </w:r>
      <w:r w:rsidRPr="00800D22">
        <w:rPr>
          <w:sz w:val="24"/>
        </w:rPr>
        <w:t>英国的信托业务起源于民事信托，而民事信托中所委托的信托财产均以土地</w:t>
      </w:r>
      <w:r w:rsidRPr="00800D22">
        <w:rPr>
          <w:rFonts w:hint="eastAsia"/>
          <w:kern w:val="0"/>
          <w:sz w:val="24"/>
        </w:rPr>
        <w:t>及其它</w:t>
      </w:r>
      <w:r w:rsidRPr="00800D22">
        <w:rPr>
          <w:sz w:val="24"/>
        </w:rPr>
        <w:t>不动产为主，所以土地</w:t>
      </w:r>
      <w:r w:rsidRPr="00800D22">
        <w:rPr>
          <w:rFonts w:hint="eastAsia"/>
          <w:kern w:val="0"/>
          <w:sz w:val="24"/>
        </w:rPr>
        <w:t>及其它</w:t>
      </w:r>
      <w:r w:rsidRPr="00800D22">
        <w:rPr>
          <w:sz w:val="24"/>
        </w:rPr>
        <w:t>不动产信托业务普遍存在。但由于经济的发展，英国现在土地</w:t>
      </w:r>
      <w:proofErr w:type="gramStart"/>
      <w:r w:rsidRPr="00800D22">
        <w:rPr>
          <w:sz w:val="24"/>
        </w:rPr>
        <w:t>信托也</w:t>
      </w:r>
      <w:proofErr w:type="gramEnd"/>
      <w:r w:rsidRPr="00800D22">
        <w:rPr>
          <w:sz w:val="24"/>
        </w:rPr>
        <w:t>逐步由过去较多限于土地信托财产的权益问题向以经营盈利为目的</w:t>
      </w:r>
      <w:r w:rsidRPr="00800D22">
        <w:rPr>
          <w:rFonts w:hint="eastAsia"/>
          <w:sz w:val="24"/>
        </w:rPr>
        <w:t>和</w:t>
      </w:r>
      <w:r w:rsidRPr="00800D22">
        <w:rPr>
          <w:sz w:val="24"/>
        </w:rPr>
        <w:t>以社会经济发展为目的方面转变。</w:t>
      </w:r>
    </w:p>
    <w:p w14:paraId="06D3B25E" w14:textId="77777777" w:rsidR="00A54666" w:rsidRPr="00800D22" w:rsidRDefault="00A54666" w:rsidP="00A54666">
      <w:pPr>
        <w:autoSpaceDE w:val="0"/>
        <w:autoSpaceDN w:val="0"/>
        <w:spacing w:line="440" w:lineRule="exact"/>
        <w:ind w:firstLineChars="200" w:firstLine="480"/>
        <w:jc w:val="left"/>
        <w:rPr>
          <w:sz w:val="24"/>
        </w:rPr>
      </w:pPr>
      <w:r w:rsidRPr="00800D22">
        <w:rPr>
          <w:sz w:val="24"/>
        </w:rPr>
        <w:t>虽然英国法人受托的信托业务比例不大，</w:t>
      </w:r>
      <w:r w:rsidRPr="00800D22">
        <w:rPr>
          <w:rFonts w:hint="eastAsia"/>
          <w:sz w:val="24"/>
        </w:rPr>
        <w:t>约为</w:t>
      </w:r>
      <w:r w:rsidRPr="00800D22">
        <w:rPr>
          <w:rFonts w:hint="eastAsia"/>
          <w:sz w:val="24"/>
        </w:rPr>
        <w:t>20%</w:t>
      </w:r>
      <w:r w:rsidRPr="00800D22">
        <w:rPr>
          <w:rFonts w:hint="eastAsia"/>
          <w:sz w:val="24"/>
        </w:rPr>
        <w:t>，而且比较集中但</w:t>
      </w:r>
      <w:r w:rsidRPr="00800D22">
        <w:rPr>
          <w:sz w:val="24"/>
        </w:rPr>
        <w:t>国民威斯敏斯特银行</w:t>
      </w:r>
      <w:r w:rsidRPr="00800D22">
        <w:rPr>
          <w:rFonts w:hint="eastAsia"/>
          <w:sz w:val="24"/>
        </w:rPr>
        <w:t>、</w:t>
      </w:r>
      <w:r w:rsidRPr="00800D22">
        <w:rPr>
          <w:sz w:val="24"/>
        </w:rPr>
        <w:t>巴克莱银行</w:t>
      </w:r>
      <w:r w:rsidRPr="00800D22">
        <w:rPr>
          <w:rFonts w:hint="eastAsia"/>
          <w:sz w:val="24"/>
        </w:rPr>
        <w:t>、</w:t>
      </w:r>
      <w:r w:rsidRPr="00800D22">
        <w:rPr>
          <w:sz w:val="24"/>
        </w:rPr>
        <w:t>米特兰银行和</w:t>
      </w:r>
      <w:proofErr w:type="gramStart"/>
      <w:r w:rsidRPr="00800D22">
        <w:rPr>
          <w:sz w:val="24"/>
        </w:rPr>
        <w:t>劳埃</w:t>
      </w:r>
      <w:proofErr w:type="gramEnd"/>
      <w:r w:rsidRPr="00800D22">
        <w:rPr>
          <w:sz w:val="24"/>
        </w:rPr>
        <w:t>德银行等四大银行所设立的信托部（公司），占了英国全部法人信托资产的</w:t>
      </w:r>
      <w:r w:rsidRPr="00800D22">
        <w:rPr>
          <w:sz w:val="24"/>
        </w:rPr>
        <w:t>90%</w:t>
      </w:r>
      <w:r w:rsidRPr="00800D22">
        <w:rPr>
          <w:sz w:val="24"/>
        </w:rPr>
        <w:t>。</w:t>
      </w:r>
      <w:r w:rsidRPr="00800D22">
        <w:rPr>
          <w:rFonts w:hint="eastAsia"/>
          <w:sz w:val="24"/>
        </w:rPr>
        <w:t>此</w:t>
      </w:r>
      <w:r w:rsidRPr="00800D22">
        <w:rPr>
          <w:sz w:val="24"/>
        </w:rPr>
        <w:t>外，保险公司业</w:t>
      </w:r>
      <w:r w:rsidRPr="00800D22">
        <w:rPr>
          <w:rFonts w:hint="eastAsia"/>
          <w:sz w:val="24"/>
        </w:rPr>
        <w:t>也</w:t>
      </w:r>
      <w:r w:rsidRPr="00800D22">
        <w:rPr>
          <w:sz w:val="24"/>
        </w:rPr>
        <w:t>兼营一部分信托业务。</w:t>
      </w:r>
    </w:p>
    <w:p w14:paraId="026E7AD0" w14:textId="77777777" w:rsidR="00A54666" w:rsidRPr="00800D22" w:rsidRDefault="00A54666" w:rsidP="00A54666">
      <w:pPr>
        <w:autoSpaceDE w:val="0"/>
        <w:autoSpaceDN w:val="0"/>
        <w:spacing w:line="440" w:lineRule="exact"/>
        <w:ind w:firstLineChars="200" w:firstLine="480"/>
        <w:jc w:val="left"/>
        <w:rPr>
          <w:rFonts w:eastAsia="新宋体"/>
          <w:kern w:val="0"/>
          <w:sz w:val="24"/>
        </w:rPr>
      </w:pPr>
      <w:r w:rsidRPr="00800D22">
        <w:rPr>
          <w:sz w:val="24"/>
        </w:rPr>
        <w:t>总体来看，信托业由于其特殊的制度功能，在英国迅速得到壮大，成为了英国资本市场不可或缺的部分和现代市场经济发展的杠杆。同时也为公司债券信托的增信方式的发展提供了良好的市场环境，促进了公司债券信托的发展。</w:t>
      </w:r>
    </w:p>
    <w:p w14:paraId="636A2A65" w14:textId="3A0D4ED9" w:rsidR="00A54666" w:rsidRPr="00800D22" w:rsidRDefault="00A54666" w:rsidP="00A54666">
      <w:pPr>
        <w:spacing w:line="440" w:lineRule="exact"/>
        <w:ind w:firstLineChars="200" w:firstLine="480"/>
        <w:outlineLvl w:val="3"/>
        <w:rPr>
          <w:rFonts w:ascii="黑体" w:eastAsia="黑体"/>
          <w:sz w:val="24"/>
        </w:rPr>
      </w:pPr>
      <w:r>
        <w:rPr>
          <w:rFonts w:ascii="黑体" w:eastAsia="黑体" w:hint="eastAsia"/>
          <w:sz w:val="24"/>
        </w:rPr>
        <w:t>2.</w:t>
      </w:r>
      <w:r w:rsidRPr="00800D22">
        <w:rPr>
          <w:rFonts w:ascii="黑体" w:eastAsia="黑体"/>
          <w:sz w:val="24"/>
        </w:rPr>
        <w:t>抵押担保</w:t>
      </w:r>
    </w:p>
    <w:p w14:paraId="7AE95DC4" w14:textId="77777777" w:rsidR="00A54666" w:rsidRPr="00800D22" w:rsidRDefault="00A54666" w:rsidP="00A54666">
      <w:pPr>
        <w:autoSpaceDE w:val="0"/>
        <w:autoSpaceDN w:val="0"/>
        <w:spacing w:line="440" w:lineRule="exact"/>
        <w:ind w:firstLineChars="200" w:firstLine="480"/>
        <w:jc w:val="left"/>
        <w:rPr>
          <w:rFonts w:eastAsia="新宋体"/>
          <w:kern w:val="0"/>
          <w:sz w:val="24"/>
        </w:rPr>
      </w:pPr>
      <w:r w:rsidRPr="00800D22">
        <w:rPr>
          <w:rFonts w:eastAsia="新宋体"/>
          <w:kern w:val="0"/>
          <w:sz w:val="24"/>
        </w:rPr>
        <w:t>抵押担保，尤其是超额抵押担保是目前英国市场中资产证券化的主要增信方式。英国的证券化产品一般都是浮动利率证券，尽管有时基础资产所产生的是固定利率的现金收入流。</w:t>
      </w:r>
      <w:r w:rsidRPr="00800D22">
        <w:rPr>
          <w:rFonts w:eastAsia="新宋体" w:hint="eastAsia"/>
          <w:kern w:val="0"/>
          <w:sz w:val="24"/>
        </w:rPr>
        <w:t>20</w:t>
      </w:r>
      <w:r w:rsidRPr="00800D22">
        <w:rPr>
          <w:rFonts w:eastAsia="新宋体" w:hint="eastAsia"/>
          <w:kern w:val="0"/>
          <w:sz w:val="24"/>
        </w:rPr>
        <w:t>世纪</w:t>
      </w:r>
      <w:r w:rsidRPr="00800D22">
        <w:rPr>
          <w:rFonts w:eastAsia="新宋体"/>
          <w:kern w:val="0"/>
          <w:sz w:val="24"/>
        </w:rPr>
        <w:t>90</w:t>
      </w:r>
      <w:r w:rsidRPr="00800D22">
        <w:rPr>
          <w:rFonts w:eastAsia="新宋体"/>
          <w:kern w:val="0"/>
          <w:sz w:val="24"/>
        </w:rPr>
        <w:t>年代英国资产证券化增信方式是第三者担</w:t>
      </w:r>
      <w:r w:rsidRPr="00800D22">
        <w:rPr>
          <w:rFonts w:eastAsia="新宋体"/>
          <w:kern w:val="0"/>
          <w:sz w:val="24"/>
        </w:rPr>
        <w:lastRenderedPageBreak/>
        <w:t>保，但后来随着超额抵押增信方式的发展，第三方担保被逐步取代。而由于英国市场中公司债券较少，且普遍采用了债券信托的增信方式。因此，在英国，第三方担保并没有成为目前市场中主要的增信方式。</w:t>
      </w:r>
    </w:p>
    <w:p w14:paraId="65BF1E23" w14:textId="77777777" w:rsidR="00A54666" w:rsidRPr="00800D22" w:rsidRDefault="00A54666" w:rsidP="00A54666">
      <w:pPr>
        <w:autoSpaceDE w:val="0"/>
        <w:autoSpaceDN w:val="0"/>
        <w:spacing w:line="440" w:lineRule="exact"/>
        <w:ind w:firstLineChars="200" w:firstLine="480"/>
        <w:jc w:val="left"/>
        <w:rPr>
          <w:rFonts w:eastAsia="新宋体"/>
          <w:kern w:val="0"/>
          <w:sz w:val="24"/>
        </w:rPr>
      </w:pPr>
      <w:r w:rsidRPr="00800D22">
        <w:rPr>
          <w:rFonts w:eastAsia="新宋体"/>
          <w:kern w:val="0"/>
          <w:sz w:val="24"/>
        </w:rPr>
        <w:t>抵押担保在英国得到迅速发展的一个重大原因是英国成熟的浮动抵押担保制度。</w:t>
      </w:r>
      <w:r w:rsidRPr="00800D22">
        <w:rPr>
          <w:rFonts w:eastAsia="新宋体" w:hint="eastAsia"/>
          <w:kern w:val="0"/>
          <w:sz w:val="24"/>
        </w:rPr>
        <w:t>对于发行人而言，</w:t>
      </w:r>
      <w:r w:rsidRPr="00800D22">
        <w:rPr>
          <w:rFonts w:eastAsia="新宋体"/>
          <w:kern w:val="0"/>
          <w:sz w:val="24"/>
        </w:rPr>
        <w:t>由于此种增信方式赋予了公司在正常经营过程中自行处分从属于担保财产的权利，</w:t>
      </w:r>
      <w:r w:rsidRPr="00800D22">
        <w:rPr>
          <w:rFonts w:eastAsia="新宋体" w:hint="eastAsia"/>
          <w:kern w:val="0"/>
          <w:sz w:val="24"/>
        </w:rPr>
        <w:t>发行人可以获得更多灵活性，从而使得其</w:t>
      </w:r>
      <w:r w:rsidRPr="00800D22">
        <w:rPr>
          <w:rFonts w:eastAsia="新宋体"/>
          <w:kern w:val="0"/>
          <w:sz w:val="24"/>
        </w:rPr>
        <w:t>在发行证券化产品或债券时</w:t>
      </w:r>
      <w:r w:rsidRPr="00800D22">
        <w:rPr>
          <w:rFonts w:eastAsia="新宋体" w:hint="eastAsia"/>
          <w:kern w:val="0"/>
          <w:sz w:val="24"/>
        </w:rPr>
        <w:t>更倾向于</w:t>
      </w:r>
      <w:r w:rsidRPr="00800D22">
        <w:rPr>
          <w:rFonts w:eastAsia="新宋体"/>
          <w:kern w:val="0"/>
          <w:sz w:val="24"/>
        </w:rPr>
        <w:t>采用该种增信方式</w:t>
      </w:r>
      <w:r w:rsidRPr="00800D22">
        <w:rPr>
          <w:rFonts w:eastAsia="新宋体" w:hint="eastAsia"/>
          <w:kern w:val="0"/>
          <w:sz w:val="24"/>
        </w:rPr>
        <w:t>。</w:t>
      </w:r>
      <w:r w:rsidRPr="00800D22">
        <w:rPr>
          <w:rFonts w:eastAsia="新宋体"/>
          <w:kern w:val="0"/>
          <w:sz w:val="24"/>
        </w:rPr>
        <w:t>而对于投资者来说，由于有法律的保护，其利益也得到了保障。因此，在浮动抵押担保的制度环境下，抵押担保的增信方式得到了市场各参与主体的认可，已成为英国债券市场中一种重要的增信方式。</w:t>
      </w:r>
    </w:p>
    <w:p w14:paraId="6FF42151" w14:textId="30D8773D" w:rsidR="00A54666" w:rsidRPr="00800D22" w:rsidRDefault="00A54666" w:rsidP="00A54666">
      <w:pPr>
        <w:spacing w:line="440" w:lineRule="exact"/>
        <w:ind w:firstLineChars="200" w:firstLine="480"/>
        <w:outlineLvl w:val="3"/>
        <w:rPr>
          <w:rFonts w:ascii="黑体" w:eastAsia="黑体"/>
          <w:sz w:val="24"/>
        </w:rPr>
      </w:pPr>
      <w:r>
        <w:rPr>
          <w:rFonts w:ascii="黑体" w:eastAsia="黑体" w:hint="eastAsia"/>
          <w:sz w:val="24"/>
        </w:rPr>
        <w:t>3.</w:t>
      </w:r>
      <w:r w:rsidRPr="00800D22">
        <w:rPr>
          <w:rFonts w:ascii="黑体" w:eastAsia="黑体"/>
          <w:sz w:val="24"/>
        </w:rPr>
        <w:t>优先/次级结构</w:t>
      </w:r>
    </w:p>
    <w:p w14:paraId="03AF2341" w14:textId="77777777" w:rsidR="00A54666" w:rsidRPr="00800D22" w:rsidRDefault="00A54666" w:rsidP="00A54666">
      <w:pPr>
        <w:autoSpaceDE w:val="0"/>
        <w:autoSpaceDN w:val="0"/>
        <w:spacing w:line="440" w:lineRule="exact"/>
        <w:ind w:firstLineChars="200" w:firstLine="480"/>
        <w:jc w:val="left"/>
        <w:rPr>
          <w:rFonts w:eastAsia="新宋体"/>
          <w:sz w:val="24"/>
        </w:rPr>
      </w:pPr>
      <w:r w:rsidRPr="00800D22">
        <w:rPr>
          <w:rFonts w:eastAsia="新宋体"/>
          <w:kern w:val="0"/>
          <w:sz w:val="24"/>
        </w:rPr>
        <w:t>在英国，另一种比较流行的增信方式是</w:t>
      </w:r>
      <w:r w:rsidRPr="00800D22">
        <w:rPr>
          <w:rFonts w:eastAsia="新宋体"/>
          <w:sz w:val="24"/>
        </w:rPr>
        <w:t>优先级</w:t>
      </w:r>
      <w:r w:rsidRPr="00800D22">
        <w:rPr>
          <w:rFonts w:eastAsia="新宋体" w:hint="eastAsia"/>
          <w:sz w:val="24"/>
        </w:rPr>
        <w:t>/</w:t>
      </w:r>
      <w:r w:rsidRPr="00800D22">
        <w:rPr>
          <w:rFonts w:eastAsia="新宋体"/>
          <w:sz w:val="24"/>
        </w:rPr>
        <w:t>次级结构，该种增信方式不仅广泛应用于资产证券化，而且还是英国金融债券的一种主要增信方式。</w:t>
      </w:r>
      <w:r w:rsidRPr="00800D22">
        <w:rPr>
          <w:rFonts w:eastAsia="新宋体"/>
          <w:kern w:val="0"/>
          <w:sz w:val="24"/>
        </w:rPr>
        <w:t>由于</w:t>
      </w:r>
      <w:r w:rsidRPr="00800D22">
        <w:rPr>
          <w:rFonts w:eastAsia="新宋体"/>
          <w:sz w:val="24"/>
        </w:rPr>
        <w:t>优先级</w:t>
      </w:r>
      <w:r w:rsidRPr="00800D22">
        <w:rPr>
          <w:rFonts w:eastAsia="新宋体" w:hint="eastAsia"/>
          <w:sz w:val="24"/>
        </w:rPr>
        <w:t>/</w:t>
      </w:r>
      <w:r w:rsidRPr="00800D22">
        <w:rPr>
          <w:rFonts w:eastAsia="新宋体"/>
          <w:sz w:val="24"/>
        </w:rPr>
        <w:t>次级结构可以保护优先</w:t>
      </w:r>
      <w:proofErr w:type="gramStart"/>
      <w:r w:rsidRPr="00800D22">
        <w:rPr>
          <w:rFonts w:eastAsia="新宋体"/>
          <w:sz w:val="24"/>
        </w:rPr>
        <w:t>档</w:t>
      </w:r>
      <w:proofErr w:type="gramEnd"/>
      <w:r w:rsidRPr="00800D22">
        <w:rPr>
          <w:rFonts w:eastAsia="新宋体"/>
          <w:sz w:val="24"/>
        </w:rPr>
        <w:t>证券持有人不受损失，信用级别一般较高。而对于次级债券，在英国市场中越来越多的交易中通过设立第一损失备付金来保护次级债券，从而使得次级证券也能获得较好的信用评级，通常次级证券的信用评级是</w:t>
      </w:r>
      <w:r w:rsidRPr="00800D22">
        <w:rPr>
          <w:rFonts w:eastAsia="新宋体"/>
          <w:sz w:val="24"/>
        </w:rPr>
        <w:t>A</w:t>
      </w:r>
      <w:r w:rsidRPr="00800D22">
        <w:rPr>
          <w:rFonts w:eastAsia="新宋体"/>
          <w:sz w:val="24"/>
        </w:rPr>
        <w:t>。由于优先</w:t>
      </w:r>
      <w:proofErr w:type="gramStart"/>
      <w:r w:rsidRPr="00800D22">
        <w:rPr>
          <w:rFonts w:eastAsia="新宋体"/>
          <w:sz w:val="24"/>
        </w:rPr>
        <w:t>档</w:t>
      </w:r>
      <w:proofErr w:type="gramEnd"/>
      <w:r w:rsidRPr="00800D22">
        <w:rPr>
          <w:rFonts w:eastAsia="新宋体"/>
          <w:sz w:val="24"/>
        </w:rPr>
        <w:t>证券的投资收益较低，因此，越来越多的投资者开始对获得信用评级的次级证券感兴趣。</w:t>
      </w:r>
    </w:p>
    <w:p w14:paraId="70E82DC8" w14:textId="77777777" w:rsidR="00A54666" w:rsidRPr="00800D22" w:rsidRDefault="00A54666" w:rsidP="00A54666">
      <w:pPr>
        <w:autoSpaceDE w:val="0"/>
        <w:autoSpaceDN w:val="0"/>
        <w:spacing w:line="440" w:lineRule="exact"/>
        <w:ind w:firstLineChars="200" w:firstLine="480"/>
        <w:rPr>
          <w:b/>
          <w:kern w:val="0"/>
          <w:szCs w:val="21"/>
        </w:rPr>
      </w:pPr>
      <w:r w:rsidRPr="00800D22">
        <w:rPr>
          <w:rFonts w:eastAsia="新宋体"/>
          <w:sz w:val="24"/>
        </w:rPr>
        <w:t>除上述三种主要的增信方式外，英国债券市场增信体系中还包括了第三方担保、信用互换</w:t>
      </w:r>
      <w:r w:rsidRPr="00800D22">
        <w:rPr>
          <w:rFonts w:eastAsia="新宋体" w:hint="eastAsia"/>
          <w:sz w:val="24"/>
        </w:rPr>
        <w:t>和</w:t>
      </w:r>
      <w:r w:rsidRPr="00800D22">
        <w:rPr>
          <w:rFonts w:eastAsia="新宋体"/>
          <w:sz w:val="24"/>
        </w:rPr>
        <w:t>利差</w:t>
      </w:r>
      <w:proofErr w:type="gramStart"/>
      <w:r w:rsidRPr="00800D22">
        <w:rPr>
          <w:rFonts w:eastAsia="新宋体"/>
          <w:sz w:val="24"/>
        </w:rPr>
        <w:t>帐户等增信</w:t>
      </w:r>
      <w:proofErr w:type="gramEnd"/>
      <w:r w:rsidRPr="00800D22">
        <w:rPr>
          <w:rFonts w:eastAsia="新宋体"/>
          <w:sz w:val="24"/>
        </w:rPr>
        <w:t>方式</w:t>
      </w:r>
      <w:r w:rsidRPr="00800D22">
        <w:rPr>
          <w:rFonts w:eastAsia="新宋体" w:hint="eastAsia"/>
          <w:sz w:val="24"/>
        </w:rPr>
        <w:t>。</w:t>
      </w:r>
    </w:p>
    <w:p w14:paraId="2E2AE113" w14:textId="77777777" w:rsidR="00A54666" w:rsidRPr="00A54666" w:rsidRDefault="00A54666">
      <w:pPr>
        <w:rPr>
          <w:rFonts w:hint="eastAsia"/>
        </w:rPr>
      </w:pPr>
    </w:p>
    <w:sectPr w:rsidR="00A54666" w:rsidRPr="00A546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95E8" w14:textId="77777777" w:rsidR="00620F52" w:rsidRDefault="00620F52" w:rsidP="00A54666">
      <w:pPr>
        <w:rPr>
          <w:rFonts w:hint="eastAsia"/>
        </w:rPr>
      </w:pPr>
      <w:r>
        <w:separator/>
      </w:r>
    </w:p>
  </w:endnote>
  <w:endnote w:type="continuationSeparator" w:id="0">
    <w:p w14:paraId="1824CA5C" w14:textId="77777777" w:rsidR="00620F52" w:rsidRDefault="00620F52" w:rsidP="00A546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C657" w14:textId="77777777" w:rsidR="00620F52" w:rsidRDefault="00620F52" w:rsidP="00A54666">
      <w:pPr>
        <w:rPr>
          <w:rFonts w:hint="eastAsia"/>
        </w:rPr>
      </w:pPr>
      <w:r>
        <w:separator/>
      </w:r>
    </w:p>
  </w:footnote>
  <w:footnote w:type="continuationSeparator" w:id="0">
    <w:p w14:paraId="50011DB6" w14:textId="77777777" w:rsidR="00620F52" w:rsidRDefault="00620F52" w:rsidP="00A5466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1"/>
    <w:rsid w:val="001229D8"/>
    <w:rsid w:val="001B4656"/>
    <w:rsid w:val="0025005C"/>
    <w:rsid w:val="0026744F"/>
    <w:rsid w:val="00341F2B"/>
    <w:rsid w:val="00620F52"/>
    <w:rsid w:val="0072271E"/>
    <w:rsid w:val="008D0AC4"/>
    <w:rsid w:val="00A54666"/>
    <w:rsid w:val="00CC0AD1"/>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A1040AB"/>
  <w15:chartTrackingRefBased/>
  <w15:docId w15:val="{A8929939-F3B7-4767-BDB4-40AED716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66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C0A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CC0A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CC0A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A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A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AD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AD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AD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C0AD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A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A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A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AD1"/>
    <w:rPr>
      <w:rFonts w:cstheme="majorBidi"/>
      <w:color w:val="2F5496" w:themeColor="accent1" w:themeShade="BF"/>
      <w:sz w:val="28"/>
      <w:szCs w:val="28"/>
    </w:rPr>
  </w:style>
  <w:style w:type="character" w:customStyle="1" w:styleId="50">
    <w:name w:val="标题 5 字符"/>
    <w:basedOn w:val="a0"/>
    <w:link w:val="5"/>
    <w:uiPriority w:val="9"/>
    <w:semiHidden/>
    <w:rsid w:val="00CC0AD1"/>
    <w:rPr>
      <w:rFonts w:cstheme="majorBidi"/>
      <w:color w:val="2F5496" w:themeColor="accent1" w:themeShade="BF"/>
      <w:sz w:val="24"/>
    </w:rPr>
  </w:style>
  <w:style w:type="character" w:customStyle="1" w:styleId="60">
    <w:name w:val="标题 6 字符"/>
    <w:basedOn w:val="a0"/>
    <w:link w:val="6"/>
    <w:uiPriority w:val="9"/>
    <w:semiHidden/>
    <w:rsid w:val="00CC0AD1"/>
    <w:rPr>
      <w:rFonts w:cstheme="majorBidi"/>
      <w:b/>
      <w:bCs/>
      <w:color w:val="2F5496" w:themeColor="accent1" w:themeShade="BF"/>
    </w:rPr>
  </w:style>
  <w:style w:type="character" w:customStyle="1" w:styleId="70">
    <w:name w:val="标题 7 字符"/>
    <w:basedOn w:val="a0"/>
    <w:link w:val="7"/>
    <w:uiPriority w:val="9"/>
    <w:semiHidden/>
    <w:rsid w:val="00CC0AD1"/>
    <w:rPr>
      <w:rFonts w:cstheme="majorBidi"/>
      <w:b/>
      <w:bCs/>
      <w:color w:val="595959" w:themeColor="text1" w:themeTint="A6"/>
    </w:rPr>
  </w:style>
  <w:style w:type="character" w:customStyle="1" w:styleId="80">
    <w:name w:val="标题 8 字符"/>
    <w:basedOn w:val="a0"/>
    <w:link w:val="8"/>
    <w:uiPriority w:val="9"/>
    <w:semiHidden/>
    <w:rsid w:val="00CC0AD1"/>
    <w:rPr>
      <w:rFonts w:cstheme="majorBidi"/>
      <w:color w:val="595959" w:themeColor="text1" w:themeTint="A6"/>
    </w:rPr>
  </w:style>
  <w:style w:type="character" w:customStyle="1" w:styleId="90">
    <w:name w:val="标题 9 字符"/>
    <w:basedOn w:val="a0"/>
    <w:link w:val="9"/>
    <w:uiPriority w:val="9"/>
    <w:semiHidden/>
    <w:rsid w:val="00CC0AD1"/>
    <w:rPr>
      <w:rFonts w:eastAsiaTheme="majorEastAsia" w:cstheme="majorBidi"/>
      <w:color w:val="595959" w:themeColor="text1" w:themeTint="A6"/>
    </w:rPr>
  </w:style>
  <w:style w:type="paragraph" w:styleId="a3">
    <w:name w:val="Title"/>
    <w:basedOn w:val="a"/>
    <w:next w:val="a"/>
    <w:link w:val="a4"/>
    <w:uiPriority w:val="10"/>
    <w:qFormat/>
    <w:rsid w:val="00CC0A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A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AD1"/>
    <w:pPr>
      <w:spacing w:before="160"/>
      <w:jc w:val="center"/>
    </w:pPr>
    <w:rPr>
      <w:i/>
      <w:iCs/>
      <w:color w:val="404040" w:themeColor="text1" w:themeTint="BF"/>
    </w:rPr>
  </w:style>
  <w:style w:type="character" w:customStyle="1" w:styleId="a8">
    <w:name w:val="引用 字符"/>
    <w:basedOn w:val="a0"/>
    <w:link w:val="a7"/>
    <w:uiPriority w:val="29"/>
    <w:rsid w:val="00CC0AD1"/>
    <w:rPr>
      <w:i/>
      <w:iCs/>
      <w:color w:val="404040" w:themeColor="text1" w:themeTint="BF"/>
    </w:rPr>
  </w:style>
  <w:style w:type="paragraph" w:styleId="a9">
    <w:name w:val="List Paragraph"/>
    <w:basedOn w:val="a"/>
    <w:uiPriority w:val="34"/>
    <w:qFormat/>
    <w:rsid w:val="00CC0AD1"/>
    <w:pPr>
      <w:ind w:left="720"/>
      <w:contextualSpacing/>
    </w:pPr>
  </w:style>
  <w:style w:type="character" w:styleId="aa">
    <w:name w:val="Intense Emphasis"/>
    <w:basedOn w:val="a0"/>
    <w:uiPriority w:val="21"/>
    <w:qFormat/>
    <w:rsid w:val="00CC0AD1"/>
    <w:rPr>
      <w:i/>
      <w:iCs/>
      <w:color w:val="2F5496" w:themeColor="accent1" w:themeShade="BF"/>
    </w:rPr>
  </w:style>
  <w:style w:type="paragraph" w:styleId="ab">
    <w:name w:val="Intense Quote"/>
    <w:basedOn w:val="a"/>
    <w:next w:val="a"/>
    <w:link w:val="ac"/>
    <w:uiPriority w:val="30"/>
    <w:qFormat/>
    <w:rsid w:val="00CC0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AD1"/>
    <w:rPr>
      <w:i/>
      <w:iCs/>
      <w:color w:val="2F5496" w:themeColor="accent1" w:themeShade="BF"/>
    </w:rPr>
  </w:style>
  <w:style w:type="character" w:styleId="ad">
    <w:name w:val="Intense Reference"/>
    <w:basedOn w:val="a0"/>
    <w:uiPriority w:val="32"/>
    <w:qFormat/>
    <w:rsid w:val="00CC0AD1"/>
    <w:rPr>
      <w:b/>
      <w:bCs/>
      <w:smallCaps/>
      <w:color w:val="2F5496" w:themeColor="accent1" w:themeShade="BF"/>
      <w:spacing w:val="5"/>
    </w:rPr>
  </w:style>
  <w:style w:type="paragraph" w:styleId="ae">
    <w:name w:val="header"/>
    <w:basedOn w:val="a"/>
    <w:link w:val="af"/>
    <w:uiPriority w:val="99"/>
    <w:unhideWhenUsed/>
    <w:rsid w:val="00A54666"/>
    <w:pPr>
      <w:tabs>
        <w:tab w:val="center" w:pos="4153"/>
        <w:tab w:val="right" w:pos="8306"/>
      </w:tabs>
      <w:snapToGrid w:val="0"/>
      <w:jc w:val="center"/>
    </w:pPr>
    <w:rPr>
      <w:sz w:val="18"/>
      <w:szCs w:val="18"/>
    </w:rPr>
  </w:style>
  <w:style w:type="character" w:customStyle="1" w:styleId="af">
    <w:name w:val="页眉 字符"/>
    <w:basedOn w:val="a0"/>
    <w:link w:val="ae"/>
    <w:uiPriority w:val="99"/>
    <w:rsid w:val="00A54666"/>
    <w:rPr>
      <w:sz w:val="18"/>
      <w:szCs w:val="18"/>
    </w:rPr>
  </w:style>
  <w:style w:type="paragraph" w:styleId="af0">
    <w:name w:val="footer"/>
    <w:basedOn w:val="a"/>
    <w:link w:val="af1"/>
    <w:uiPriority w:val="99"/>
    <w:unhideWhenUsed/>
    <w:rsid w:val="00A54666"/>
    <w:pPr>
      <w:tabs>
        <w:tab w:val="center" w:pos="4153"/>
        <w:tab w:val="right" w:pos="8306"/>
      </w:tabs>
      <w:snapToGrid w:val="0"/>
    </w:pPr>
    <w:rPr>
      <w:sz w:val="18"/>
      <w:szCs w:val="18"/>
    </w:rPr>
  </w:style>
  <w:style w:type="character" w:customStyle="1" w:styleId="af1">
    <w:name w:val="页脚 字符"/>
    <w:basedOn w:val="a0"/>
    <w:link w:val="af0"/>
    <w:uiPriority w:val="99"/>
    <w:rsid w:val="00A54666"/>
    <w:rPr>
      <w:sz w:val="18"/>
      <w:szCs w:val="18"/>
    </w:rPr>
  </w:style>
  <w:style w:type="character" w:customStyle="1" w:styleId="3Char">
    <w:name w:val="标题 3 Char"/>
    <w:rsid w:val="00A54666"/>
    <w:rPr>
      <w:rFonts w:eastAsia="宋体"/>
      <w:b/>
      <w:bCs/>
      <w:kern w:val="2"/>
      <w:sz w:val="32"/>
      <w:szCs w:val="32"/>
      <w:lang w:val="en-US" w:eastAsia="zh-CN" w:bidi="ar-SA"/>
    </w:rPr>
  </w:style>
  <w:style w:type="character" w:styleId="af2">
    <w:name w:val="Strong"/>
    <w:qFormat/>
    <w:rsid w:val="00A54666"/>
    <w:rPr>
      <w:b/>
      <w:bCs/>
    </w:rPr>
  </w:style>
  <w:style w:type="paragraph" w:styleId="af3">
    <w:name w:val="caption"/>
    <w:basedOn w:val="a"/>
    <w:next w:val="a"/>
    <w:qFormat/>
    <w:rsid w:val="00A54666"/>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2025-10-21T08:57:00Z</dcterms:created>
  <dcterms:modified xsi:type="dcterms:W3CDTF">2025-10-21T08:59:00Z</dcterms:modified>
</cp:coreProperties>
</file>