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382F" w14:textId="77777777" w:rsidR="009B11DE" w:rsidRDefault="009B11DE" w:rsidP="009B11DE">
      <w:pPr>
        <w:pStyle w:val="2"/>
        <w:adjustRightInd w:val="0"/>
        <w:spacing w:beforeLines="50" w:before="156" w:afterLines="50" w:after="156" w:line="440" w:lineRule="exact"/>
        <w:jc w:val="center"/>
        <w:rPr>
          <w:rFonts w:ascii="黑体" w:eastAsia="黑体" w:hAnsi="Times New Roman" w:cs="Times New Roman"/>
          <w:bCs/>
          <w:color w:val="auto"/>
          <w:sz w:val="44"/>
          <w:szCs w:val="44"/>
        </w:rPr>
      </w:pPr>
      <w:r w:rsidRPr="009B11DE">
        <w:rPr>
          <w:rFonts w:ascii="黑体" w:eastAsia="黑体" w:hAnsi="Times New Roman" w:cs="Times New Roman"/>
          <w:bCs/>
          <w:color w:val="auto"/>
          <w:sz w:val="44"/>
          <w:szCs w:val="44"/>
        </w:rPr>
        <w:t>信用缺失的信息经济学理论分析</w:t>
      </w:r>
    </w:p>
    <w:p w14:paraId="578D57AC" w14:textId="77777777" w:rsidR="009B11DE" w:rsidRPr="009B11DE" w:rsidRDefault="009B11DE" w:rsidP="009B11DE">
      <w:pPr>
        <w:rPr>
          <w:rFonts w:hint="eastAsia"/>
        </w:rPr>
      </w:pPr>
    </w:p>
    <w:p w14:paraId="1D1E3B6B" w14:textId="58A1AB83" w:rsidR="009B11DE" w:rsidRPr="00800D22" w:rsidRDefault="009B11DE" w:rsidP="009B11DE">
      <w:pPr>
        <w:widowControl/>
        <w:spacing w:line="440" w:lineRule="exact"/>
        <w:outlineLvl w:val="3"/>
        <w:rPr>
          <w:rFonts w:ascii="黑体" w:eastAsia="黑体" w:hAnsi="宋体"/>
          <w:bCs/>
          <w:sz w:val="24"/>
        </w:rPr>
      </w:pPr>
      <w:r>
        <w:rPr>
          <w:rFonts w:ascii="黑体" w:eastAsia="黑体" w:hAnsi="宋体" w:hint="eastAsia"/>
          <w:bCs/>
          <w:sz w:val="24"/>
        </w:rPr>
        <w:t>一、</w:t>
      </w:r>
      <w:r w:rsidRPr="00800D22">
        <w:rPr>
          <w:rFonts w:ascii="黑体" w:eastAsia="黑体" w:hAnsi="宋体"/>
          <w:bCs/>
          <w:sz w:val="24"/>
        </w:rPr>
        <w:t>信息经济学的理论体系</w:t>
      </w:r>
    </w:p>
    <w:p w14:paraId="2BDA3145" w14:textId="77777777" w:rsidR="009B11DE" w:rsidRPr="00800D22" w:rsidRDefault="009B11DE" w:rsidP="009B11DE">
      <w:pPr>
        <w:spacing w:line="434" w:lineRule="exact"/>
        <w:ind w:firstLineChars="200" w:firstLine="480"/>
        <w:rPr>
          <w:sz w:val="24"/>
        </w:rPr>
      </w:pPr>
      <w:r w:rsidRPr="00800D22">
        <w:rPr>
          <w:sz w:val="24"/>
        </w:rPr>
        <w:t>传统经济学对市场的研究，是建立在完全竞争、充分信息、理性人</w:t>
      </w:r>
      <w:r w:rsidRPr="00800D22">
        <w:rPr>
          <w:rFonts w:hint="eastAsia"/>
          <w:sz w:val="24"/>
        </w:rPr>
        <w:t>及</w:t>
      </w:r>
      <w:r w:rsidRPr="00800D22">
        <w:rPr>
          <w:sz w:val="24"/>
        </w:rPr>
        <w:t>市场出清等假设的基础之上的</w:t>
      </w:r>
      <w:r w:rsidRPr="00800D22">
        <w:rPr>
          <w:rFonts w:hint="eastAsia"/>
          <w:sz w:val="24"/>
        </w:rPr>
        <w:t>。</w:t>
      </w:r>
      <w:r w:rsidRPr="00800D22">
        <w:rPr>
          <w:sz w:val="24"/>
        </w:rPr>
        <w:t>在新古典领域内似乎只有价格信息重要，因而许多信息问题被忽略掉了，这与现实的市场经济活动存在很大差距。事实上，有关经济决策的信息，像某种商品一样，是稀缺的。获取信息要花费代价，有些信息，即使花费很大代价也不是一定能得到。这就产生了信息不对称问题。从本质上讲，信息经济学是非对称信息博弈论在经济学上的应用。近二三十年来，由于阿尔克洛夫、斯彭斯、斯蒂格利茨</w:t>
      </w:r>
      <w:r w:rsidRPr="00800D22">
        <w:rPr>
          <w:rFonts w:hint="eastAsia"/>
          <w:sz w:val="24"/>
        </w:rPr>
        <w:t>及</w:t>
      </w:r>
      <w:r w:rsidRPr="00800D22">
        <w:rPr>
          <w:sz w:val="24"/>
        </w:rPr>
        <w:t>莫里斯等人对信息经济学和博弈论的连贯性研究，信息不对称理论日臻完善并已发展成为经济研究的重要分析工具，被广泛应用于各种市场领域的研究</w:t>
      </w:r>
      <w:r w:rsidRPr="00800D22">
        <w:rPr>
          <w:rStyle w:val="af4"/>
          <w:sz w:val="24"/>
        </w:rPr>
        <w:footnoteReference w:id="1"/>
      </w:r>
      <w:r w:rsidRPr="00800D22">
        <w:rPr>
          <w:sz w:val="24"/>
        </w:rPr>
        <w:t>。</w:t>
      </w:r>
    </w:p>
    <w:p w14:paraId="6CA0DCC9" w14:textId="77777777" w:rsidR="009B11DE" w:rsidRPr="00800D22" w:rsidRDefault="009B11DE" w:rsidP="009B11DE">
      <w:pPr>
        <w:spacing w:line="434" w:lineRule="exact"/>
        <w:ind w:firstLineChars="200" w:firstLine="480"/>
        <w:rPr>
          <w:sz w:val="24"/>
        </w:rPr>
      </w:pPr>
      <w:r w:rsidRPr="00800D22">
        <w:rPr>
          <w:sz w:val="24"/>
        </w:rPr>
        <w:t>信息经济学与博弈论有着一定的区别：博弈论研究的问题是决策各方的行为发生相互影响时各自的决策以及这些决策所能达到的均衡，是方法论导向；信息经济学研究的则是决策各方的行为发生互相影响时存在的非对称信息的问题，是问题导向</w:t>
      </w:r>
      <w:r w:rsidRPr="00800D22">
        <w:rPr>
          <w:rStyle w:val="af4"/>
          <w:sz w:val="24"/>
        </w:rPr>
        <w:footnoteReference w:id="2"/>
      </w:r>
      <w:r w:rsidRPr="00800D22">
        <w:rPr>
          <w:sz w:val="24"/>
        </w:rPr>
        <w:t>。所谓非对称信息是并非所有市场参与者都知晓的信息</w:t>
      </w:r>
      <w:r w:rsidRPr="00800D22">
        <w:rPr>
          <w:rFonts w:hint="eastAsia"/>
          <w:sz w:val="24"/>
        </w:rPr>
        <w:t>，</w:t>
      </w:r>
      <w:r w:rsidRPr="00800D22">
        <w:rPr>
          <w:sz w:val="24"/>
        </w:rPr>
        <w:t>即某些参与者拥有而另一些参与者不拥有却影响双方利益的信息。从内容上看，这种不对称信息可分为两类：一类是双方知识的不对称，即一方不能观测另一方的信息，是外生的、先定的，不是双方当事人行为造成的</w:t>
      </w:r>
      <w:r w:rsidRPr="00800D22">
        <w:rPr>
          <w:rFonts w:hint="eastAsia"/>
          <w:sz w:val="24"/>
        </w:rPr>
        <w:t>，</w:t>
      </w:r>
      <w:r w:rsidRPr="00800D22">
        <w:rPr>
          <w:sz w:val="24"/>
        </w:rPr>
        <w:t>这类信息的不对称被称为隐藏信息或知识。第二类不对称信息是指在签订合同时双方拥有的信息是对称的，但签合同后，一方不能观测另一方的信息，是内生的，取决于另一方的行为</w:t>
      </w:r>
      <w:r w:rsidRPr="00800D22">
        <w:rPr>
          <w:rFonts w:hint="eastAsia"/>
          <w:sz w:val="24"/>
        </w:rPr>
        <w:t>，</w:t>
      </w:r>
      <w:r w:rsidRPr="00800D22">
        <w:rPr>
          <w:sz w:val="24"/>
        </w:rPr>
        <w:t>这类信息的不对称被称为隐藏行动。从时间上看，它可能发生在当事人签约之前，也可能发生在当事人签约之后，分别称为事前非对称信息和事后非对称信息。与此相对应，对事前隐藏信息的研究导致了逆向选择、信号传递和信息甄别理论；对事后隐藏信息或隐藏行动的研究导致了道德风险理论。</w:t>
      </w:r>
    </w:p>
    <w:p w14:paraId="7242F81D" w14:textId="77777777" w:rsidR="009B11DE" w:rsidRPr="00800D22" w:rsidRDefault="009B11DE" w:rsidP="009B11DE">
      <w:pPr>
        <w:spacing w:line="434" w:lineRule="exact"/>
        <w:ind w:firstLineChars="200" w:firstLine="480"/>
        <w:rPr>
          <w:sz w:val="24"/>
        </w:rPr>
      </w:pPr>
      <w:r w:rsidRPr="00800D22">
        <w:rPr>
          <w:sz w:val="24"/>
        </w:rPr>
        <w:t>信息经济学中，通常将博弈中拥有私人信息（交易一方拥有，他人难以观测或无法验证的一类信息）的一方（即信息优势）称为代理人，不拥有私人信息的一方（即信息劣势方）称为委托人。对隐藏行动所导致的道德风险问题的研究又发展成为</w:t>
      </w:r>
      <w:r w:rsidRPr="00800D22">
        <w:rPr>
          <w:rFonts w:hint="eastAsia"/>
          <w:sz w:val="24"/>
        </w:rPr>
        <w:t>“</w:t>
      </w:r>
      <w:r w:rsidRPr="00800D22">
        <w:rPr>
          <w:sz w:val="24"/>
        </w:rPr>
        <w:t>委托</w:t>
      </w:r>
      <w:r w:rsidRPr="00800D22">
        <w:rPr>
          <w:sz w:val="24"/>
        </w:rPr>
        <w:t>-</w:t>
      </w:r>
      <w:r w:rsidRPr="00800D22">
        <w:rPr>
          <w:sz w:val="24"/>
        </w:rPr>
        <w:t>代理</w:t>
      </w:r>
      <w:r w:rsidRPr="00800D22">
        <w:rPr>
          <w:rFonts w:hint="eastAsia"/>
          <w:sz w:val="24"/>
        </w:rPr>
        <w:t>”</w:t>
      </w:r>
      <w:r w:rsidRPr="00800D22">
        <w:rPr>
          <w:sz w:val="24"/>
        </w:rPr>
        <w:t>理论。信息经济学注重研究</w:t>
      </w:r>
      <w:r w:rsidRPr="00800D22">
        <w:rPr>
          <w:rFonts w:hint="eastAsia"/>
          <w:sz w:val="24"/>
        </w:rPr>
        <w:t>“</w:t>
      </w:r>
      <w:r w:rsidRPr="00800D22">
        <w:rPr>
          <w:sz w:val="24"/>
        </w:rPr>
        <w:t>委托</w:t>
      </w:r>
      <w:r w:rsidRPr="00800D22">
        <w:rPr>
          <w:sz w:val="24"/>
        </w:rPr>
        <w:t>-</w:t>
      </w:r>
      <w:r w:rsidRPr="00800D22">
        <w:rPr>
          <w:sz w:val="24"/>
        </w:rPr>
        <w:t>代理</w:t>
      </w:r>
      <w:r w:rsidRPr="00800D22">
        <w:rPr>
          <w:rFonts w:hint="eastAsia"/>
          <w:sz w:val="24"/>
        </w:rPr>
        <w:t>”</w:t>
      </w:r>
      <w:r w:rsidRPr="00800D22">
        <w:rPr>
          <w:sz w:val="24"/>
        </w:rPr>
        <w:t>框架下或信息不对称条件下交易双方的行为关系问题以及如何通过制定合理的激励约束机制</w:t>
      </w:r>
      <w:r w:rsidRPr="00800D22">
        <w:rPr>
          <w:sz w:val="24"/>
        </w:rPr>
        <w:lastRenderedPageBreak/>
        <w:t>以有效消除代理人的代理风险，降低交易双方行为差异造成的效率损失。</w:t>
      </w:r>
    </w:p>
    <w:p w14:paraId="0E355C5C" w14:textId="77777777" w:rsidR="009B11DE" w:rsidRPr="00800D22" w:rsidRDefault="009B11DE" w:rsidP="009B11DE">
      <w:pPr>
        <w:spacing w:line="440" w:lineRule="exact"/>
        <w:ind w:firstLineChars="200" w:firstLine="480"/>
        <w:rPr>
          <w:sz w:val="24"/>
        </w:rPr>
      </w:pPr>
      <w:r w:rsidRPr="00800D22">
        <w:rPr>
          <w:sz w:val="24"/>
        </w:rPr>
        <w:t>（</w:t>
      </w:r>
      <w:r w:rsidRPr="00800D22">
        <w:rPr>
          <w:sz w:val="24"/>
        </w:rPr>
        <w:t>1</w:t>
      </w:r>
      <w:r w:rsidRPr="00800D22">
        <w:rPr>
          <w:sz w:val="24"/>
        </w:rPr>
        <w:t>）逆向选择、信号传递和信息甄别</w:t>
      </w:r>
    </w:p>
    <w:p w14:paraId="3024F796" w14:textId="77777777" w:rsidR="009B11DE" w:rsidRPr="00800D22" w:rsidRDefault="009B11DE" w:rsidP="009B11DE">
      <w:pPr>
        <w:spacing w:line="440" w:lineRule="exact"/>
        <w:ind w:firstLineChars="200" w:firstLine="480"/>
        <w:rPr>
          <w:sz w:val="24"/>
        </w:rPr>
      </w:pPr>
      <w:r w:rsidRPr="00800D22">
        <w:rPr>
          <w:sz w:val="24"/>
        </w:rPr>
        <w:t>逆向选择是指代理人占有委托人所观察不到的信息，并利用这些私人信息进行决策。例如，在市场交易过程中，卖方比买方更了解产品的质量</w:t>
      </w:r>
      <w:r w:rsidRPr="00800D22">
        <w:rPr>
          <w:rFonts w:hint="eastAsia"/>
          <w:sz w:val="24"/>
        </w:rPr>
        <w:t>和</w:t>
      </w:r>
      <w:r w:rsidRPr="00800D22">
        <w:rPr>
          <w:sz w:val="24"/>
        </w:rPr>
        <w:t>价格。当双方掌握的情况有差异时，拥有信息优势的一方，为了获得更有利于自己的交易条件，故意隐藏某些不利于自己的信息，甚至扭曲信息或制造虚假信息，这就必然影响契约的签订和交易的质量。这种在交易前隐藏自己掌握的信息，或利用对方不知情来做出有利自己的选择的行为就是逆向选择。阿克尔洛夫在《柠檬市场》一文首次提出了逆向选择理论。在旧车市场，存在好车和次车。卖者知道旧车的质量，而买者却并不知道。好车车主只愿意卖高价，次车车主则愿意卖低价。买者知道自己可能会买到次车，就会竭力压低价格，价格下降会进一步打击好车卖主的积极性，当价格跌破他们所能接受的底线时，就会将好车抽走，退出市场，让买者在剩下的次车中进行选择。如此往复，最终次车逐渐充斥市场，导致所谓的</w:t>
      </w:r>
      <w:r w:rsidRPr="00800D22">
        <w:rPr>
          <w:rFonts w:hint="eastAsia"/>
          <w:sz w:val="24"/>
        </w:rPr>
        <w:t>“</w:t>
      </w:r>
      <w:r w:rsidRPr="00800D22">
        <w:rPr>
          <w:sz w:val="24"/>
        </w:rPr>
        <w:t>劣币驱逐良币</w:t>
      </w:r>
      <w:r w:rsidRPr="00800D22">
        <w:rPr>
          <w:rFonts w:hint="eastAsia"/>
          <w:sz w:val="24"/>
        </w:rPr>
        <w:t>”</w:t>
      </w:r>
      <w:r w:rsidRPr="00800D22">
        <w:rPr>
          <w:sz w:val="24"/>
        </w:rPr>
        <w:t>现象，造成市场失灵。可见，信息不对称促进了卖主出售低质量商品的积极性，以次充好，欺诈买方，卖主的失信行为导致了买者对商品质量的偏见，对市场失去信心。</w:t>
      </w:r>
    </w:p>
    <w:p w14:paraId="153AF7E2" w14:textId="77777777" w:rsidR="009B11DE" w:rsidRPr="00800D22" w:rsidRDefault="009B11DE" w:rsidP="009B11DE">
      <w:pPr>
        <w:spacing w:line="440" w:lineRule="exact"/>
        <w:ind w:firstLineChars="200" w:firstLine="480"/>
        <w:rPr>
          <w:sz w:val="24"/>
        </w:rPr>
      </w:pPr>
      <w:r w:rsidRPr="00800D22">
        <w:rPr>
          <w:sz w:val="24"/>
        </w:rPr>
        <w:t>信号传递理论解释了市场中的信息优势方在何种条件下能够将信息</w:t>
      </w:r>
      <w:r w:rsidRPr="00800D22">
        <w:rPr>
          <w:rFonts w:hint="eastAsia"/>
          <w:sz w:val="24"/>
        </w:rPr>
        <w:t>“</w:t>
      </w:r>
      <w:r w:rsidRPr="00800D22">
        <w:rPr>
          <w:sz w:val="24"/>
        </w:rPr>
        <w:t>信号</w:t>
      </w:r>
      <w:r w:rsidRPr="00800D22">
        <w:rPr>
          <w:rFonts w:hint="eastAsia"/>
          <w:sz w:val="24"/>
        </w:rPr>
        <w:t>”</w:t>
      </w:r>
      <w:r w:rsidRPr="00800D22">
        <w:rPr>
          <w:sz w:val="24"/>
        </w:rPr>
        <w:t>可信地传递给信息劣势方，消除信息不对称的状况，从而规避逆向选择风险。比如在劳动力市场，劳动者知道自己的能力，雇主不知道且无法对此进行观测。假定劳动能力与教育水平有关，要达到同等教育水平，高能力者比低能力者付出的边际成本要低，因此，前者选择接受较高教育水平，后者则由于付出的努力和时间与后来的薪金收益不对称而选择接受较低教育水平。由此，劳动力市场会出现这样的均衡：为了将自己与低能力者区别开来，高能力者选择接受更高水平的教育；通过显示较高的教育水平，高能力者就向雇主传递了关于自己能力的信号；雇主根据不同教育水平中所包含的能力差异信息，对劳动者的能力做出判断，并做出自己的选择。这样，劳动力市场关于劳动力能力的信息非对称状况就会得到改善。推而广之，在信息传递模型下，代理人为显示自己的类型选择某种信号，委托人在观测到信号之后与代理人签订合同或做出决定。</w:t>
      </w:r>
    </w:p>
    <w:p w14:paraId="12444A08" w14:textId="77777777" w:rsidR="009B11DE" w:rsidRPr="00800D22" w:rsidRDefault="009B11DE" w:rsidP="009B11DE">
      <w:pPr>
        <w:spacing w:line="440" w:lineRule="exact"/>
        <w:ind w:firstLineChars="200" w:firstLine="480"/>
        <w:rPr>
          <w:sz w:val="24"/>
        </w:rPr>
      </w:pPr>
      <w:r w:rsidRPr="00800D22">
        <w:rPr>
          <w:sz w:val="24"/>
        </w:rPr>
        <w:t>信息甄别理论所解决的是，信息劣势方可以提供若干个交易合同，供信息优势方选择，信息优势方根据拥有的私人信息选择一个最适合于自己的合同。信息劣势方可以通过调整合同</w:t>
      </w:r>
      <w:r w:rsidRPr="00800D22">
        <w:rPr>
          <w:rFonts w:hint="eastAsia"/>
          <w:sz w:val="24"/>
        </w:rPr>
        <w:t>“</w:t>
      </w:r>
      <w:r w:rsidRPr="00800D22">
        <w:rPr>
          <w:sz w:val="24"/>
        </w:rPr>
        <w:t>筛选</w:t>
      </w:r>
      <w:r w:rsidRPr="00800D22">
        <w:rPr>
          <w:rFonts w:hint="eastAsia"/>
          <w:sz w:val="24"/>
        </w:rPr>
        <w:t>”</w:t>
      </w:r>
      <w:r w:rsidRPr="00800D22">
        <w:rPr>
          <w:sz w:val="24"/>
        </w:rPr>
        <w:t>信息优势方，或者说，诱使信息优势方显示其</w:t>
      </w:r>
      <w:r w:rsidRPr="00800D22">
        <w:rPr>
          <w:sz w:val="24"/>
        </w:rPr>
        <w:lastRenderedPageBreak/>
        <w:t>私人信息。比如在保险市场，保险公司不清楚投保人的风险状况，而投保人则知道，这时，保险公司会提供一系列不同保险费率和免赔额的组合的保险合同供投保人选择（通常，保险公司提供两种可供选择的保险合同：一种合同是较高的免赔额与较低的保费率组合；另一种是较高的保险额与高昂的保费率组合），投保人则会根据自己的风险状况选择适合于自己的最优合同。通过选择对应于不同风险程度的保险合同，投保人就会显示出自己风险状况的私人信息，保险公司最终就会达到区分不同风险程度的投保人的目的。可见，信息甄别为逆向选择的信息劣势方提供了规避风险的方法，使信息劣势方获得了获取信息的主动权，减少了等待信息优势方发出信号的成本及区分信号可靠度的成本。推而广之，在信息甄别模型下，委托人提供多个合同供代理人选择，代理人根据自己的类型选择最适合自己的合同，并据此选择行动。</w:t>
      </w:r>
    </w:p>
    <w:p w14:paraId="60D8DFD5" w14:textId="77777777" w:rsidR="009B11DE" w:rsidRPr="00800D22" w:rsidRDefault="009B11DE" w:rsidP="009B11DE">
      <w:pPr>
        <w:spacing w:line="440" w:lineRule="exact"/>
        <w:ind w:firstLineChars="200" w:firstLine="480"/>
        <w:rPr>
          <w:sz w:val="24"/>
        </w:rPr>
      </w:pPr>
      <w:r w:rsidRPr="00800D22">
        <w:rPr>
          <w:sz w:val="24"/>
        </w:rPr>
        <w:t>（</w:t>
      </w:r>
      <w:r w:rsidRPr="00800D22">
        <w:rPr>
          <w:sz w:val="24"/>
        </w:rPr>
        <w:t>2</w:t>
      </w:r>
      <w:r w:rsidRPr="00800D22">
        <w:rPr>
          <w:sz w:val="24"/>
        </w:rPr>
        <w:t>）道德风险理论</w:t>
      </w:r>
    </w:p>
    <w:p w14:paraId="7B0FE0CB" w14:textId="77777777" w:rsidR="009B11DE" w:rsidRPr="00800D22" w:rsidRDefault="009B11DE" w:rsidP="009B11DE">
      <w:pPr>
        <w:spacing w:line="440" w:lineRule="exact"/>
        <w:ind w:firstLineChars="200" w:firstLine="480"/>
        <w:rPr>
          <w:sz w:val="24"/>
        </w:rPr>
      </w:pPr>
      <w:r w:rsidRPr="00800D22">
        <w:rPr>
          <w:sz w:val="24"/>
        </w:rPr>
        <w:t>道德风险是指代理人为了谋求自身利益最大化，借委托人观察监督困难之机而采取不利于委托人的行动。</w:t>
      </w:r>
      <w:r w:rsidRPr="00800D22">
        <w:rPr>
          <w:rFonts w:hint="eastAsia"/>
          <w:sz w:val="24"/>
        </w:rPr>
        <w:t>“</w:t>
      </w:r>
      <w:r w:rsidRPr="00800D22">
        <w:rPr>
          <w:sz w:val="24"/>
        </w:rPr>
        <w:t>道德风险</w:t>
      </w:r>
      <w:r w:rsidRPr="00800D22">
        <w:rPr>
          <w:rFonts w:hint="eastAsia"/>
          <w:sz w:val="24"/>
        </w:rPr>
        <w:t>”</w:t>
      </w:r>
      <w:r w:rsidRPr="00800D22">
        <w:rPr>
          <w:sz w:val="24"/>
        </w:rPr>
        <w:t>过去常被运用于财产保险中，投保人由于购买了保险，可能变得懈怠，不像投保前那么谨慎，增大了财产被偷盗或损失的概率，给保险公司带来利益损害。而保险公司又很难调查清楚财产损失和投保人多大程度的疏忽大意有关。后来阿罗同样将此概念引入到经济理论中，专门指合约实施阶段的机会主义行为。根据引致因素的不同，道德风险划分为隐藏信息道德风险和隐藏行动道德风险两种类型。</w:t>
      </w:r>
    </w:p>
    <w:p w14:paraId="2B2FB399" w14:textId="77777777" w:rsidR="009B11DE" w:rsidRPr="00800D22" w:rsidRDefault="009B11DE" w:rsidP="009B11DE">
      <w:pPr>
        <w:spacing w:line="440" w:lineRule="exact"/>
        <w:ind w:firstLineChars="200" w:firstLine="480"/>
        <w:rPr>
          <w:sz w:val="24"/>
        </w:rPr>
      </w:pPr>
      <w:r w:rsidRPr="00800D22">
        <w:rPr>
          <w:sz w:val="24"/>
        </w:rPr>
        <w:t>隐藏信息道德风险是指在签订交易契约时，交易双方所拥有的关于交易活动的信息是对称的，但在签约后，代理人可能由于能够掌握发挥作用的某些随机因素（包括参与人的先天因素）的信息，并在此基础上选择自己的行动，而委托人只能观测到代理人的行动，却不能观测到有关随机因素发挥作用的信息。由此，代理人具有采取行动的私人信息（即随机因素发挥作用的信息），可以通过向委托人提供虚假信息，采取损人利己或损人不利己的行动。对于委托人来说，主要在于设计一个激励合同，诱使代理人在给定的自然状态下，选择对委托人最有利的行动，如真实地向委托人报告随机因素作用的背景状况。</w:t>
      </w:r>
    </w:p>
    <w:p w14:paraId="6009C521" w14:textId="77777777" w:rsidR="009B11DE" w:rsidRPr="00800D22" w:rsidRDefault="009B11DE" w:rsidP="009B11DE">
      <w:pPr>
        <w:spacing w:line="440" w:lineRule="exact"/>
        <w:ind w:firstLineChars="200" w:firstLine="480"/>
        <w:rPr>
          <w:sz w:val="24"/>
        </w:rPr>
      </w:pPr>
      <w:r w:rsidRPr="00800D22">
        <w:rPr>
          <w:sz w:val="24"/>
        </w:rPr>
        <w:t>隐藏行动道德风险是指在签订交易契约时，交易双方所拥有的关于交易活动的（事前）信息是对称的，但在签约后，由于随机因素发挥作用，代理人可以选择自己的行动（如工作努力或不努力）</w:t>
      </w:r>
      <w:r w:rsidRPr="00800D22">
        <w:rPr>
          <w:rFonts w:hint="eastAsia"/>
          <w:sz w:val="24"/>
        </w:rPr>
        <w:t>。</w:t>
      </w:r>
      <w:r w:rsidRPr="00800D22">
        <w:rPr>
          <w:sz w:val="24"/>
        </w:rPr>
        <w:t>代理人的行动和随机因素的作用共同决定某些可观测的结果，而委托人只能观测到这些结果，却不能直接观测到代理人</w:t>
      </w:r>
      <w:r w:rsidRPr="00800D22">
        <w:rPr>
          <w:sz w:val="24"/>
        </w:rPr>
        <w:lastRenderedPageBreak/>
        <w:t>的行动本身和随机因素的作用本身。因此，代理人就可能会做出损人利己或损人不利己的行动。对委托人来说，就需要设计一个激励合同，诱使代理人从自身利益出发选择委托人所希望的行动。</w:t>
      </w:r>
    </w:p>
    <w:p w14:paraId="71DC66F1" w14:textId="0EEB378D" w:rsidR="009B11DE" w:rsidRPr="00800D22" w:rsidRDefault="009B11DE" w:rsidP="009B11DE">
      <w:pPr>
        <w:widowControl/>
        <w:spacing w:line="440" w:lineRule="exact"/>
        <w:outlineLvl w:val="3"/>
        <w:rPr>
          <w:rFonts w:ascii="黑体" w:eastAsia="黑体" w:hAnsi="宋体"/>
          <w:bCs/>
          <w:sz w:val="24"/>
        </w:rPr>
      </w:pPr>
      <w:r>
        <w:rPr>
          <w:rFonts w:ascii="黑体" w:eastAsia="黑体" w:hAnsi="宋体" w:hint="eastAsia"/>
          <w:bCs/>
          <w:sz w:val="24"/>
        </w:rPr>
        <w:t>二、</w:t>
      </w:r>
      <w:r w:rsidRPr="00800D22">
        <w:rPr>
          <w:rFonts w:ascii="黑体" w:eastAsia="黑体" w:hAnsi="宋体"/>
          <w:bCs/>
          <w:sz w:val="24"/>
        </w:rPr>
        <w:t>从信息经济学理论角度分析信用缺失</w:t>
      </w:r>
    </w:p>
    <w:p w14:paraId="2F66113B" w14:textId="77777777" w:rsidR="009B11DE" w:rsidRPr="00800D22" w:rsidRDefault="009B11DE" w:rsidP="009B11DE">
      <w:pPr>
        <w:spacing w:line="440" w:lineRule="exact"/>
        <w:ind w:firstLineChars="200" w:firstLine="480"/>
        <w:rPr>
          <w:rFonts w:hint="eastAsia"/>
          <w:sz w:val="24"/>
        </w:rPr>
      </w:pPr>
      <w:r w:rsidRPr="00800D22">
        <w:rPr>
          <w:sz w:val="24"/>
        </w:rPr>
        <w:t>从前面的讨论中</w:t>
      </w:r>
      <w:r w:rsidRPr="00800D22">
        <w:rPr>
          <w:rFonts w:hint="eastAsia"/>
          <w:sz w:val="24"/>
        </w:rPr>
        <w:t>可知</w:t>
      </w:r>
      <w:r w:rsidRPr="00800D22">
        <w:rPr>
          <w:sz w:val="24"/>
        </w:rPr>
        <w:t>，信息经济学注重研究和解决信息不对称条件下决策各方之间的行为关系问题，以及如何通过设计激励约束机制来有效消除代理人的代理风险，降低代理人和委托人行为差异造成的效率损失。</w:t>
      </w:r>
    </w:p>
    <w:p w14:paraId="79AFCAA3" w14:textId="77777777" w:rsidR="009B11DE" w:rsidRPr="00800D22" w:rsidRDefault="009B11DE" w:rsidP="009B11DE">
      <w:pPr>
        <w:spacing w:line="440" w:lineRule="exact"/>
        <w:ind w:firstLineChars="200" w:firstLine="480"/>
        <w:rPr>
          <w:sz w:val="24"/>
        </w:rPr>
      </w:pPr>
      <w:r w:rsidRPr="00800D22">
        <w:rPr>
          <w:sz w:val="24"/>
        </w:rPr>
        <w:t>（</w:t>
      </w:r>
      <w:r w:rsidRPr="00800D22">
        <w:rPr>
          <w:sz w:val="24"/>
        </w:rPr>
        <w:t>1</w:t>
      </w:r>
      <w:r w:rsidRPr="00800D22">
        <w:rPr>
          <w:sz w:val="24"/>
        </w:rPr>
        <w:t>）信用关系中的信息不对称</w:t>
      </w:r>
    </w:p>
    <w:p w14:paraId="67FDD6FC" w14:textId="77777777" w:rsidR="009B11DE" w:rsidRPr="00800D22" w:rsidRDefault="009B11DE" w:rsidP="009B11DE">
      <w:pPr>
        <w:spacing w:line="440" w:lineRule="exact"/>
        <w:ind w:firstLineChars="200" w:firstLine="480"/>
        <w:rPr>
          <w:sz w:val="24"/>
        </w:rPr>
      </w:pPr>
      <w:r w:rsidRPr="00800D22">
        <w:rPr>
          <w:sz w:val="24"/>
        </w:rPr>
        <w:t>在市场经济中，由于社会分工的不断深化和竞争的加剧，信用市场是不完全信息的市场，在这样的信用市场中，受</w:t>
      </w:r>
      <w:proofErr w:type="gramStart"/>
      <w:r w:rsidRPr="00800D22">
        <w:rPr>
          <w:sz w:val="24"/>
        </w:rPr>
        <w:t>信主体</w:t>
      </w:r>
      <w:proofErr w:type="gramEnd"/>
      <w:r w:rsidRPr="00800D22">
        <w:rPr>
          <w:sz w:val="24"/>
        </w:rPr>
        <w:t>对自己的预期收入水平的变化、资产负债状况、还款能力及履约意愿十分清楚</w:t>
      </w:r>
      <w:r w:rsidRPr="00800D22">
        <w:rPr>
          <w:rFonts w:hint="eastAsia"/>
          <w:sz w:val="24"/>
        </w:rPr>
        <w:t>，</w:t>
      </w:r>
      <w:proofErr w:type="gramStart"/>
      <w:r w:rsidRPr="00800D22">
        <w:rPr>
          <w:sz w:val="24"/>
        </w:rPr>
        <w:t>但授信者</w:t>
      </w:r>
      <w:proofErr w:type="gramEnd"/>
      <w:r w:rsidRPr="00800D22">
        <w:rPr>
          <w:sz w:val="24"/>
        </w:rPr>
        <w:t>对这些信息的掌握却不充分。若一个授信者面对众多的受信者，</w:t>
      </w:r>
      <w:proofErr w:type="gramStart"/>
      <w:r w:rsidRPr="00800D22">
        <w:rPr>
          <w:sz w:val="24"/>
        </w:rPr>
        <w:t>则信息</w:t>
      </w:r>
      <w:proofErr w:type="gramEnd"/>
      <w:r w:rsidRPr="00800D22">
        <w:rPr>
          <w:sz w:val="24"/>
        </w:rPr>
        <w:t>不对称的程度就更严重，这是因为每个受信者对自己信息的掌握都是充分的，并且相互之间的信息又是有差异的，这会进一步加剧处于信息劣势的单个授信者与处于信息优势且有差异的受信群体之间的信息不对称程度。</w:t>
      </w:r>
      <w:proofErr w:type="gramStart"/>
      <w:r w:rsidRPr="00800D22">
        <w:rPr>
          <w:sz w:val="24"/>
        </w:rPr>
        <w:t>授信方只能</w:t>
      </w:r>
      <w:proofErr w:type="gramEnd"/>
      <w:r w:rsidRPr="00800D22">
        <w:rPr>
          <w:sz w:val="24"/>
        </w:rPr>
        <w:t>根据</w:t>
      </w:r>
      <w:proofErr w:type="gramStart"/>
      <w:r w:rsidRPr="00800D22">
        <w:rPr>
          <w:sz w:val="24"/>
        </w:rPr>
        <w:t>受信方以往</w:t>
      </w:r>
      <w:proofErr w:type="gramEnd"/>
      <w:r w:rsidRPr="00800D22">
        <w:rPr>
          <w:sz w:val="24"/>
        </w:rPr>
        <w:t>的信用记录和信誉状况对</w:t>
      </w:r>
      <w:proofErr w:type="gramStart"/>
      <w:r w:rsidRPr="00800D22">
        <w:rPr>
          <w:sz w:val="24"/>
        </w:rPr>
        <w:t>受信方的</w:t>
      </w:r>
      <w:proofErr w:type="gramEnd"/>
      <w:r w:rsidRPr="00800D22">
        <w:rPr>
          <w:sz w:val="24"/>
        </w:rPr>
        <w:t>守信和违约程度做出判断。信息不对称会产生信用市场的逆向选择并导致</w:t>
      </w:r>
      <w:proofErr w:type="gramStart"/>
      <w:r w:rsidRPr="00800D22">
        <w:rPr>
          <w:sz w:val="24"/>
        </w:rPr>
        <w:t>受信方的</w:t>
      </w:r>
      <w:proofErr w:type="gramEnd"/>
      <w:r w:rsidRPr="00800D22">
        <w:rPr>
          <w:sz w:val="24"/>
        </w:rPr>
        <w:t>道德风险。以银行和企业的借贷关系为例，在银企借贷关系中，银行对企业信息的占有是处于弱势地位</w:t>
      </w:r>
      <w:r w:rsidRPr="00800D22">
        <w:rPr>
          <w:rFonts w:hint="eastAsia"/>
          <w:sz w:val="24"/>
        </w:rPr>
        <w:t>。</w:t>
      </w:r>
      <w:r w:rsidRPr="00800D22">
        <w:rPr>
          <w:sz w:val="24"/>
        </w:rPr>
        <w:t>对银行而言，它对每一位借款者提供的贷款利率都是相同的，可以贷给甲企业，也可以贷给乙企业，但银行不可能完全了解两家企业所有生产、经营、管理、财务以及还款意愿、还款能力等各方面信息，贷款决策主要依赖于两家企业所提供的关联信息。假定两家企业中有一家好企业和</w:t>
      </w:r>
      <w:proofErr w:type="gramStart"/>
      <w:r w:rsidRPr="00800D22">
        <w:rPr>
          <w:sz w:val="24"/>
        </w:rPr>
        <w:t>一家差</w:t>
      </w:r>
      <w:proofErr w:type="gramEnd"/>
      <w:r w:rsidRPr="00800D22">
        <w:rPr>
          <w:sz w:val="24"/>
        </w:rPr>
        <w:t>企业，他们向银行提供的信息中，可能是真实信息与虚假信息并存，银行囿于知识和方法手段的限制，难以甄别它所得到的信息，于是银行对两家借款企业的授信会出现三种可能结果：一是两家企业都得不到授信（将好企业视为差企业排除在外）；二是两家企业都得到授信（将差企业当作了好企业）；三是只对一家企业授信，其中又有两种可能结果：对信誉差、偿债能力弱而提供虚假信息的差企业授信，而对信誉好、偿债能力强</w:t>
      </w:r>
      <w:r w:rsidRPr="00800D22">
        <w:rPr>
          <w:rFonts w:hint="eastAsia"/>
          <w:sz w:val="24"/>
        </w:rPr>
        <w:t>且</w:t>
      </w:r>
      <w:r w:rsidRPr="00800D22">
        <w:rPr>
          <w:sz w:val="24"/>
        </w:rPr>
        <w:t>提供真实信息的好企业不予授信或者相反。上述前两种结果和第三种结果中的第一种情形都是逆向选择，这种逆向选择均源自借贷双方的信息不对称。进一步考察，银行信贷资金一旦投入到企业（不论是好企业还是差企业），都构成了企业的营运资金，贷款的安全性完全依赖于企业的经营状况，但银行对影响企业经营的内、外部因素是不可能十分清楚的。</w:t>
      </w:r>
      <w:r w:rsidRPr="00800D22">
        <w:rPr>
          <w:sz w:val="24"/>
        </w:rPr>
        <w:lastRenderedPageBreak/>
        <w:t>获得贷款的企业（不论是好企业还是差企业），很可能将所获贷款投入银行并不希望从事的高风险领域，使贷款的潜在风险变得更高，在一定条件下，可能变成问题贷款，严重时会使企业破产。企业若通过破产来清偿债务，将会使资产价值大幅度贬值。这就是由信息不对称引起的道德风险。逆向选择和道德风险严重时，就会出现</w:t>
      </w:r>
      <w:r w:rsidRPr="00800D22">
        <w:rPr>
          <w:rFonts w:hint="eastAsia"/>
          <w:sz w:val="24"/>
        </w:rPr>
        <w:t>“</w:t>
      </w:r>
      <w:r w:rsidRPr="00800D22">
        <w:rPr>
          <w:sz w:val="24"/>
        </w:rPr>
        <w:t>坏车市场</w:t>
      </w:r>
      <w:r w:rsidRPr="00800D22">
        <w:rPr>
          <w:rFonts w:hint="eastAsia"/>
          <w:sz w:val="24"/>
        </w:rPr>
        <w:t>”</w:t>
      </w:r>
      <w:r w:rsidRPr="00800D22">
        <w:rPr>
          <w:rStyle w:val="af4"/>
          <w:sz w:val="24"/>
        </w:rPr>
        <w:footnoteReference w:id="3"/>
      </w:r>
      <w:r w:rsidRPr="00800D22">
        <w:rPr>
          <w:sz w:val="24"/>
        </w:rPr>
        <w:t>效应</w:t>
      </w:r>
      <w:r w:rsidRPr="00800D22">
        <w:rPr>
          <w:rFonts w:hint="eastAsia"/>
          <w:sz w:val="24"/>
        </w:rPr>
        <w:t>——</w:t>
      </w:r>
      <w:r w:rsidRPr="00800D22">
        <w:rPr>
          <w:sz w:val="24"/>
        </w:rPr>
        <w:t>金融交易效率低下。银行为避免风险将选择</w:t>
      </w:r>
      <w:proofErr w:type="gramStart"/>
      <w:r w:rsidRPr="00800D22">
        <w:rPr>
          <w:sz w:val="24"/>
        </w:rPr>
        <w:t>少贷款</w:t>
      </w:r>
      <w:proofErr w:type="gramEnd"/>
      <w:r w:rsidRPr="00800D22">
        <w:rPr>
          <w:sz w:val="24"/>
        </w:rPr>
        <w:t>或不贷款，企业需要资金而得不到贷款，银企双方本应属于</w:t>
      </w:r>
      <w:r w:rsidRPr="00800D22">
        <w:rPr>
          <w:rFonts w:hint="eastAsia"/>
          <w:sz w:val="24"/>
        </w:rPr>
        <w:t>“</w:t>
      </w:r>
      <w:r w:rsidRPr="00800D22">
        <w:rPr>
          <w:sz w:val="24"/>
        </w:rPr>
        <w:t>双赢</w:t>
      </w:r>
      <w:r w:rsidRPr="00800D22">
        <w:rPr>
          <w:rFonts w:hint="eastAsia"/>
          <w:sz w:val="24"/>
        </w:rPr>
        <w:t>”</w:t>
      </w:r>
      <w:r w:rsidRPr="00800D22">
        <w:rPr>
          <w:sz w:val="24"/>
        </w:rPr>
        <w:t>的博弈，却最终变成了</w:t>
      </w:r>
      <w:r w:rsidRPr="00800D22">
        <w:rPr>
          <w:rFonts w:hint="eastAsia"/>
          <w:sz w:val="24"/>
        </w:rPr>
        <w:t>“</w:t>
      </w:r>
      <w:r w:rsidRPr="00800D22">
        <w:rPr>
          <w:sz w:val="24"/>
        </w:rPr>
        <w:t>囚徒困境</w:t>
      </w:r>
      <w:r w:rsidRPr="00800D22">
        <w:rPr>
          <w:rFonts w:hint="eastAsia"/>
          <w:sz w:val="24"/>
        </w:rPr>
        <w:t>”</w:t>
      </w:r>
      <w:r w:rsidRPr="00800D22">
        <w:rPr>
          <w:sz w:val="24"/>
        </w:rPr>
        <w:t>，企业欠债，银行惜贷，市场行为严重扭曲，逆向选择和道德风险的共同作用，产生了高风险的违约概率，使契约双方都面临超常的信用风险。</w:t>
      </w:r>
    </w:p>
    <w:p w14:paraId="102D607C" w14:textId="77777777" w:rsidR="009B11DE" w:rsidRPr="00800D22" w:rsidRDefault="009B11DE" w:rsidP="009B11DE">
      <w:pPr>
        <w:spacing w:line="440" w:lineRule="exact"/>
        <w:ind w:firstLineChars="200" w:firstLine="480"/>
        <w:rPr>
          <w:sz w:val="24"/>
        </w:rPr>
      </w:pPr>
      <w:r w:rsidRPr="00800D22">
        <w:rPr>
          <w:sz w:val="24"/>
        </w:rPr>
        <w:t>（</w:t>
      </w:r>
      <w:r w:rsidRPr="00800D22">
        <w:rPr>
          <w:sz w:val="24"/>
        </w:rPr>
        <w:t>2</w:t>
      </w:r>
      <w:r w:rsidRPr="00800D22">
        <w:rPr>
          <w:sz w:val="24"/>
        </w:rPr>
        <w:t>）信息不对称条件下信用主体之间的博弈分析</w:t>
      </w:r>
    </w:p>
    <w:p w14:paraId="37DB2DD8" w14:textId="77777777" w:rsidR="009B11DE" w:rsidRPr="00800D22" w:rsidRDefault="009B11DE" w:rsidP="009B11DE">
      <w:pPr>
        <w:spacing w:line="440" w:lineRule="exact"/>
        <w:ind w:firstLineChars="200" w:firstLine="480"/>
        <w:rPr>
          <w:sz w:val="24"/>
        </w:rPr>
      </w:pPr>
      <w:r w:rsidRPr="00800D22">
        <w:rPr>
          <w:sz w:val="24"/>
        </w:rPr>
        <w:t>为了更详细地描述信息不对称条件下信用缺失的形成机理，首先从建立完全信息条件下的博弈模型入手，然后通过建立不完全信息条件下的动态博弈模型，来进一步分析当信息不对称时信用主体的行为选择，最后据以分析我国信用缺失的原因。</w:t>
      </w:r>
    </w:p>
    <w:p w14:paraId="6E7A852B" w14:textId="77777777" w:rsidR="009B11DE" w:rsidRPr="00800D22" w:rsidRDefault="009B11DE" w:rsidP="009B11DE">
      <w:pPr>
        <w:spacing w:line="440" w:lineRule="exact"/>
        <w:ind w:firstLineChars="200" w:firstLine="480"/>
        <w:rPr>
          <w:sz w:val="24"/>
        </w:rPr>
      </w:pPr>
      <w:r w:rsidRPr="00800D22">
        <w:rPr>
          <w:rFonts w:ascii="宋体" w:hAnsi="宋体" w:cs="宋体" w:hint="eastAsia"/>
          <w:sz w:val="24"/>
        </w:rPr>
        <w:t>①</w:t>
      </w:r>
      <w:r w:rsidRPr="00800D22">
        <w:rPr>
          <w:sz w:val="24"/>
        </w:rPr>
        <w:t>完全信息条件下的博弈分析</w:t>
      </w:r>
    </w:p>
    <w:p w14:paraId="6D53AA52" w14:textId="77777777" w:rsidR="009B11DE" w:rsidRPr="00800D22" w:rsidRDefault="009B11DE" w:rsidP="009B11DE">
      <w:pPr>
        <w:numPr>
          <w:ilvl w:val="0"/>
          <w:numId w:val="1"/>
        </w:numPr>
        <w:spacing w:line="440" w:lineRule="exact"/>
        <w:rPr>
          <w:sz w:val="24"/>
        </w:rPr>
      </w:pPr>
      <w:r w:rsidRPr="00800D22">
        <w:rPr>
          <w:sz w:val="24"/>
        </w:rPr>
        <w:t>完全信息条件下的静态博弈模型</w:t>
      </w:r>
    </w:p>
    <w:p w14:paraId="3DB9F49D" w14:textId="77777777" w:rsidR="009B11DE" w:rsidRPr="00800D22" w:rsidRDefault="009B11DE" w:rsidP="009B11DE">
      <w:pPr>
        <w:spacing w:line="440" w:lineRule="exact"/>
        <w:ind w:firstLineChars="200" w:firstLine="480"/>
        <w:rPr>
          <w:sz w:val="24"/>
        </w:rPr>
      </w:pPr>
      <w:r w:rsidRPr="00800D22">
        <w:rPr>
          <w:sz w:val="24"/>
        </w:rPr>
        <w:t>完全信息静态博弈是指各博弈方同时决策，且所有博弈方对各方得益都了解的博弈。假定信用市场有两个主体</w:t>
      </w:r>
      <w:r w:rsidRPr="00800D22">
        <w:rPr>
          <w:sz w:val="24"/>
        </w:rPr>
        <w:t>A</w:t>
      </w:r>
      <w:r w:rsidRPr="00800D22">
        <w:rPr>
          <w:sz w:val="24"/>
        </w:rPr>
        <w:t>和</w:t>
      </w:r>
      <w:r w:rsidRPr="00800D22">
        <w:rPr>
          <w:sz w:val="24"/>
        </w:rPr>
        <w:t>B</w:t>
      </w:r>
      <w:r w:rsidRPr="00800D22">
        <w:rPr>
          <w:sz w:val="24"/>
        </w:rPr>
        <w:t>，在他们的交往中若都守信，双方都能获益，因此守信是一种正和博弈。而违约及其识别不仅要付出成本，而且还会带来其它负面影响，所以违约是一种负和博弈。现只考虑双方只有守信和违约，并且博弈双方对各种博弈情况下的得益都完全了解，即完全信息静态博弈，则</w:t>
      </w:r>
      <w:r w:rsidRPr="00800D22">
        <w:rPr>
          <w:sz w:val="24"/>
        </w:rPr>
        <w:t>A</w:t>
      </w:r>
      <w:r w:rsidRPr="00800D22">
        <w:rPr>
          <w:sz w:val="24"/>
        </w:rPr>
        <w:t>和</w:t>
      </w:r>
      <w:r w:rsidRPr="00800D22">
        <w:rPr>
          <w:sz w:val="24"/>
        </w:rPr>
        <w:t>B</w:t>
      </w:r>
      <w:r w:rsidRPr="00800D22">
        <w:rPr>
          <w:sz w:val="24"/>
        </w:rPr>
        <w:t>的得益矩阵如表</w:t>
      </w:r>
      <w:r w:rsidRPr="00800D22">
        <w:rPr>
          <w:sz w:val="24"/>
        </w:rPr>
        <w:t>2.1</w:t>
      </w:r>
      <w:r w:rsidRPr="00800D22">
        <w:rPr>
          <w:sz w:val="24"/>
        </w:rPr>
        <w:t>：</w:t>
      </w:r>
    </w:p>
    <w:p w14:paraId="21EA095F" w14:textId="77777777" w:rsidR="009B11DE" w:rsidRPr="00800D22" w:rsidRDefault="009B11DE" w:rsidP="009B11DE">
      <w:pPr>
        <w:pStyle w:val="af5"/>
        <w:spacing w:beforeLines="100" w:before="312"/>
        <w:jc w:val="center"/>
        <w:rPr>
          <w:rFonts w:ascii="Times New Roman" w:eastAsia="新宋体" w:hAnsi="Times New Roman" w:cs="Times New Roman"/>
          <w:sz w:val="21"/>
          <w:szCs w:val="21"/>
        </w:rPr>
      </w:pPr>
      <w:bookmarkStart w:id="0" w:name="_Toc256506387"/>
      <w:r w:rsidRPr="00800D22">
        <w:rPr>
          <w:rFonts w:ascii="Times New Roman" w:eastAsia="新宋体" w:hAnsi="新宋体" w:cs="Times New Roman"/>
          <w:sz w:val="21"/>
          <w:szCs w:val="21"/>
        </w:rPr>
        <w:t>表</w:t>
      </w:r>
      <w:r w:rsidRPr="00800D22">
        <w:rPr>
          <w:rFonts w:ascii="Times New Roman" w:eastAsia="新宋体" w:hAnsi="Times New Roman" w:cs="Times New Roman"/>
          <w:sz w:val="21"/>
          <w:szCs w:val="21"/>
        </w:rPr>
        <w:t>2.</w:t>
      </w:r>
      <w:r w:rsidRPr="00800D22">
        <w:rPr>
          <w:rFonts w:ascii="Times New Roman" w:eastAsia="新宋体" w:hAnsi="Times New Roman" w:cs="Times New Roman"/>
          <w:sz w:val="21"/>
          <w:szCs w:val="21"/>
        </w:rPr>
        <w:fldChar w:fldCharType="begin"/>
      </w:r>
      <w:r w:rsidRPr="00800D22">
        <w:rPr>
          <w:rFonts w:ascii="Times New Roman" w:eastAsia="新宋体" w:hAnsi="Times New Roman" w:cs="Times New Roman"/>
          <w:sz w:val="21"/>
          <w:szCs w:val="21"/>
        </w:rPr>
        <w:instrText xml:space="preserve"> SEQ </w:instrText>
      </w:r>
      <w:r w:rsidRPr="00800D22">
        <w:rPr>
          <w:rFonts w:ascii="Times New Roman" w:eastAsia="新宋体" w:hAnsi="新宋体" w:cs="Times New Roman"/>
          <w:sz w:val="21"/>
          <w:szCs w:val="21"/>
        </w:rPr>
        <w:instrText>表</w:instrText>
      </w:r>
      <w:r w:rsidRPr="00800D22">
        <w:rPr>
          <w:rFonts w:ascii="Times New Roman" w:eastAsia="新宋体" w:hAnsi="Times New Roman" w:cs="Times New Roman"/>
          <w:sz w:val="21"/>
          <w:szCs w:val="21"/>
        </w:rPr>
        <w:instrText xml:space="preserve">2. \* ARABIC </w:instrText>
      </w:r>
      <w:r w:rsidRPr="00800D22">
        <w:rPr>
          <w:rFonts w:ascii="Times New Roman" w:eastAsia="新宋体" w:hAnsi="Times New Roman" w:cs="Times New Roman"/>
          <w:sz w:val="21"/>
          <w:szCs w:val="21"/>
        </w:rPr>
        <w:fldChar w:fldCharType="separate"/>
      </w:r>
      <w:r w:rsidRPr="00800D22">
        <w:rPr>
          <w:rFonts w:ascii="Times New Roman" w:eastAsia="新宋体" w:hAnsi="Times New Roman" w:cs="Times New Roman"/>
          <w:noProof/>
          <w:sz w:val="21"/>
          <w:szCs w:val="21"/>
        </w:rPr>
        <w:t>1</w:t>
      </w:r>
      <w:r w:rsidRPr="00800D22">
        <w:rPr>
          <w:rFonts w:ascii="Times New Roman" w:eastAsia="新宋体" w:hAnsi="Times New Roman" w:cs="Times New Roman"/>
          <w:sz w:val="21"/>
          <w:szCs w:val="21"/>
        </w:rPr>
        <w:fldChar w:fldCharType="end"/>
      </w:r>
      <w:r w:rsidRPr="00800D22">
        <w:rPr>
          <w:rFonts w:ascii="Times New Roman" w:eastAsia="新宋体" w:hAnsi="Times New Roman" w:cs="Times New Roman"/>
          <w:sz w:val="21"/>
          <w:szCs w:val="21"/>
        </w:rPr>
        <w:t xml:space="preserve">  </w:t>
      </w:r>
      <w:r w:rsidRPr="00800D22">
        <w:rPr>
          <w:rFonts w:ascii="Times New Roman" w:eastAsia="新宋体" w:hAnsi="新宋体" w:cs="Times New Roman"/>
          <w:sz w:val="21"/>
          <w:szCs w:val="21"/>
        </w:rPr>
        <w:t>一次性博弈得益矩阵</w:t>
      </w:r>
      <w:bookmarkEnd w:id="0"/>
    </w:p>
    <w:p w14:paraId="2A764F4A" w14:textId="77777777" w:rsidR="009B11DE" w:rsidRPr="00800D22" w:rsidRDefault="009B11DE" w:rsidP="009B11DE">
      <w:pPr>
        <w:pStyle w:val="af5"/>
        <w:jc w:val="center"/>
        <w:rPr>
          <w:rFonts w:ascii="Times New Roman" w:eastAsia="新宋体" w:hAnsi="Times New Roman" w:cs="Times New Roman"/>
          <w:sz w:val="21"/>
          <w:szCs w:val="21"/>
        </w:rPr>
      </w:pPr>
      <w:r w:rsidRPr="00800D22">
        <w:rPr>
          <w:rFonts w:ascii="Times New Roman" w:eastAsia="新宋体" w:hAnsi="Times New Roman" w:cs="Times New Roman"/>
          <w:sz w:val="21"/>
          <w:szCs w:val="21"/>
        </w:rPr>
        <w:t xml:space="preserve">Table </w:t>
      </w:r>
      <w:proofErr w:type="gramStart"/>
      <w:r w:rsidRPr="00800D22">
        <w:rPr>
          <w:rFonts w:ascii="Times New Roman" w:eastAsia="新宋体" w:hAnsi="Times New Roman" w:cs="Times New Roman"/>
          <w:sz w:val="21"/>
          <w:szCs w:val="21"/>
        </w:rPr>
        <w:t xml:space="preserve">2.1 </w:t>
      </w:r>
      <w:r w:rsidRPr="00800D22">
        <w:rPr>
          <w:rFonts w:ascii="Times New Roman" w:eastAsia="新宋体" w:hAnsi="Times New Roman" w:cs="Times New Roman" w:hint="eastAsia"/>
          <w:sz w:val="21"/>
          <w:szCs w:val="21"/>
        </w:rPr>
        <w:t xml:space="preserve"> </w:t>
      </w:r>
      <w:r w:rsidRPr="00800D22">
        <w:rPr>
          <w:rFonts w:ascii="Times New Roman" w:eastAsia="新宋体" w:hAnsi="Times New Roman" w:cs="Times New Roman"/>
          <w:sz w:val="21"/>
          <w:szCs w:val="21"/>
        </w:rPr>
        <w:t>Payoff</w:t>
      </w:r>
      <w:proofErr w:type="gramEnd"/>
      <w:r w:rsidRPr="00800D22">
        <w:rPr>
          <w:rFonts w:ascii="Times New Roman" w:eastAsia="新宋体" w:hAnsi="Times New Roman" w:cs="Times New Roman"/>
          <w:sz w:val="21"/>
          <w:szCs w:val="21"/>
        </w:rPr>
        <w:t xml:space="preserve"> matrix of one short game</w:t>
      </w:r>
    </w:p>
    <w:tbl>
      <w:tblPr>
        <w:tblW w:w="6255" w:type="dxa"/>
        <w:jc w:val="center"/>
        <w:tblBorders>
          <w:top w:val="single" w:sz="4" w:space="0" w:color="auto"/>
          <w:bottom w:val="single" w:sz="4" w:space="0" w:color="auto"/>
        </w:tblBorders>
        <w:tblLook w:val="0000" w:firstRow="0" w:lastRow="0" w:firstColumn="0" w:lastColumn="0" w:noHBand="0" w:noVBand="0"/>
      </w:tblPr>
      <w:tblGrid>
        <w:gridCol w:w="1166"/>
        <w:gridCol w:w="1159"/>
        <w:gridCol w:w="1950"/>
        <w:gridCol w:w="1980"/>
      </w:tblGrid>
      <w:tr w:rsidR="009B11DE" w:rsidRPr="00800D22" w14:paraId="120AE3B7" w14:textId="77777777" w:rsidTr="00DB24B0">
        <w:trPr>
          <w:trHeight w:val="285"/>
          <w:jc w:val="center"/>
        </w:trPr>
        <w:tc>
          <w:tcPr>
            <w:tcW w:w="2325" w:type="dxa"/>
            <w:gridSpan w:val="2"/>
            <w:vMerge w:val="restart"/>
            <w:tcBorders>
              <w:top w:val="single" w:sz="4" w:space="0" w:color="auto"/>
              <w:bottom w:val="nil"/>
            </w:tcBorders>
            <w:noWrap/>
            <w:vAlign w:val="center"/>
          </w:tcPr>
          <w:p w14:paraId="17CC9231" w14:textId="77777777" w:rsidR="009B11DE" w:rsidRPr="00800D22" w:rsidRDefault="009B11DE" w:rsidP="00DB24B0">
            <w:pPr>
              <w:adjustRightInd w:val="0"/>
              <w:jc w:val="center"/>
              <w:textAlignment w:val="center"/>
              <w:rPr>
                <w:szCs w:val="21"/>
              </w:rPr>
            </w:pPr>
          </w:p>
        </w:tc>
        <w:tc>
          <w:tcPr>
            <w:tcW w:w="3930" w:type="dxa"/>
            <w:gridSpan w:val="2"/>
            <w:tcBorders>
              <w:top w:val="single" w:sz="4" w:space="0" w:color="auto"/>
              <w:bottom w:val="nil"/>
            </w:tcBorders>
            <w:noWrap/>
            <w:vAlign w:val="center"/>
          </w:tcPr>
          <w:p w14:paraId="1E112025" w14:textId="77777777" w:rsidR="009B11DE" w:rsidRPr="00800D22" w:rsidRDefault="009B11DE" w:rsidP="00DB24B0">
            <w:pPr>
              <w:adjustRightInd w:val="0"/>
              <w:jc w:val="center"/>
              <w:textAlignment w:val="center"/>
              <w:rPr>
                <w:szCs w:val="21"/>
              </w:rPr>
            </w:pPr>
            <w:r w:rsidRPr="00800D22">
              <w:rPr>
                <w:szCs w:val="21"/>
              </w:rPr>
              <w:t>A</w:t>
            </w:r>
          </w:p>
        </w:tc>
      </w:tr>
      <w:tr w:rsidR="009B11DE" w:rsidRPr="00800D22" w14:paraId="3DFAB12C" w14:textId="77777777" w:rsidTr="00DB24B0">
        <w:trPr>
          <w:trHeight w:val="285"/>
          <w:jc w:val="center"/>
        </w:trPr>
        <w:tc>
          <w:tcPr>
            <w:tcW w:w="2325" w:type="dxa"/>
            <w:gridSpan w:val="2"/>
            <w:vMerge/>
            <w:tcBorders>
              <w:top w:val="nil"/>
              <w:bottom w:val="single" w:sz="4" w:space="0" w:color="auto"/>
            </w:tcBorders>
            <w:vAlign w:val="center"/>
          </w:tcPr>
          <w:p w14:paraId="46CEA6C4" w14:textId="77777777" w:rsidR="009B11DE" w:rsidRPr="00800D22" w:rsidRDefault="009B11DE" w:rsidP="00DB24B0">
            <w:pPr>
              <w:adjustRightInd w:val="0"/>
              <w:jc w:val="center"/>
              <w:textAlignment w:val="center"/>
              <w:rPr>
                <w:szCs w:val="21"/>
              </w:rPr>
            </w:pPr>
          </w:p>
        </w:tc>
        <w:tc>
          <w:tcPr>
            <w:tcW w:w="1950" w:type="dxa"/>
            <w:tcBorders>
              <w:top w:val="nil"/>
              <w:bottom w:val="single" w:sz="4" w:space="0" w:color="auto"/>
            </w:tcBorders>
            <w:noWrap/>
            <w:vAlign w:val="center"/>
          </w:tcPr>
          <w:p w14:paraId="00E08B64" w14:textId="77777777" w:rsidR="009B11DE" w:rsidRPr="00800D22" w:rsidRDefault="009B11DE" w:rsidP="00DB24B0">
            <w:pPr>
              <w:adjustRightInd w:val="0"/>
              <w:textAlignment w:val="center"/>
              <w:rPr>
                <w:szCs w:val="21"/>
              </w:rPr>
            </w:pPr>
            <w:r w:rsidRPr="00800D22">
              <w:rPr>
                <w:szCs w:val="21"/>
              </w:rPr>
              <w:t>守信</w:t>
            </w:r>
          </w:p>
        </w:tc>
        <w:tc>
          <w:tcPr>
            <w:tcW w:w="1980" w:type="dxa"/>
            <w:tcBorders>
              <w:top w:val="nil"/>
              <w:bottom w:val="single" w:sz="4" w:space="0" w:color="auto"/>
            </w:tcBorders>
            <w:noWrap/>
            <w:vAlign w:val="center"/>
          </w:tcPr>
          <w:p w14:paraId="41503B2B" w14:textId="77777777" w:rsidR="009B11DE" w:rsidRPr="00800D22" w:rsidRDefault="009B11DE" w:rsidP="00DB24B0">
            <w:pPr>
              <w:adjustRightInd w:val="0"/>
              <w:textAlignment w:val="center"/>
              <w:rPr>
                <w:szCs w:val="21"/>
              </w:rPr>
            </w:pPr>
            <w:r w:rsidRPr="00800D22">
              <w:rPr>
                <w:szCs w:val="21"/>
              </w:rPr>
              <w:t>违约</w:t>
            </w:r>
          </w:p>
        </w:tc>
      </w:tr>
      <w:tr w:rsidR="009B11DE" w:rsidRPr="00800D22" w14:paraId="76358B4D" w14:textId="77777777" w:rsidTr="00DB24B0">
        <w:trPr>
          <w:trHeight w:val="285"/>
          <w:jc w:val="center"/>
        </w:trPr>
        <w:tc>
          <w:tcPr>
            <w:tcW w:w="1166" w:type="dxa"/>
            <w:vMerge w:val="restart"/>
            <w:tcBorders>
              <w:top w:val="single" w:sz="4" w:space="0" w:color="auto"/>
            </w:tcBorders>
            <w:noWrap/>
            <w:vAlign w:val="center"/>
          </w:tcPr>
          <w:p w14:paraId="556BAE0A" w14:textId="77777777" w:rsidR="009B11DE" w:rsidRPr="00800D22" w:rsidRDefault="009B11DE" w:rsidP="00DB24B0">
            <w:pPr>
              <w:adjustRightInd w:val="0"/>
              <w:textAlignment w:val="center"/>
              <w:rPr>
                <w:sz w:val="18"/>
                <w:szCs w:val="18"/>
              </w:rPr>
            </w:pPr>
            <w:r w:rsidRPr="00800D22">
              <w:rPr>
                <w:sz w:val="18"/>
                <w:szCs w:val="18"/>
              </w:rPr>
              <w:t>B</w:t>
            </w:r>
          </w:p>
        </w:tc>
        <w:tc>
          <w:tcPr>
            <w:tcW w:w="1159" w:type="dxa"/>
            <w:tcBorders>
              <w:top w:val="single" w:sz="4" w:space="0" w:color="auto"/>
            </w:tcBorders>
            <w:noWrap/>
            <w:vAlign w:val="center"/>
          </w:tcPr>
          <w:p w14:paraId="1F00934C" w14:textId="77777777" w:rsidR="009B11DE" w:rsidRPr="00800D22" w:rsidRDefault="009B11DE" w:rsidP="00DB24B0">
            <w:pPr>
              <w:adjustRightInd w:val="0"/>
              <w:textAlignment w:val="center"/>
              <w:rPr>
                <w:sz w:val="18"/>
                <w:szCs w:val="18"/>
              </w:rPr>
            </w:pPr>
            <w:r w:rsidRPr="00800D22">
              <w:rPr>
                <w:sz w:val="18"/>
                <w:szCs w:val="18"/>
              </w:rPr>
              <w:t>守信</w:t>
            </w:r>
          </w:p>
        </w:tc>
        <w:tc>
          <w:tcPr>
            <w:tcW w:w="1950" w:type="dxa"/>
            <w:tcBorders>
              <w:top w:val="single" w:sz="4" w:space="0" w:color="auto"/>
            </w:tcBorders>
            <w:noWrap/>
            <w:vAlign w:val="center"/>
          </w:tcPr>
          <w:p w14:paraId="741F8008"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5</w:t>
            </w:r>
            <w:r w:rsidRPr="00800D22">
              <w:rPr>
                <w:sz w:val="18"/>
                <w:szCs w:val="18"/>
              </w:rPr>
              <w:t>，</w:t>
            </w:r>
            <w:r w:rsidRPr="00800D22">
              <w:rPr>
                <w:sz w:val="18"/>
                <w:szCs w:val="18"/>
              </w:rPr>
              <w:t>5</w:t>
            </w:r>
            <w:r w:rsidRPr="00800D22">
              <w:rPr>
                <w:sz w:val="18"/>
                <w:szCs w:val="18"/>
              </w:rPr>
              <w:t>）</w:t>
            </w:r>
          </w:p>
        </w:tc>
        <w:tc>
          <w:tcPr>
            <w:tcW w:w="1980" w:type="dxa"/>
            <w:tcBorders>
              <w:top w:val="single" w:sz="4" w:space="0" w:color="auto"/>
            </w:tcBorders>
            <w:noWrap/>
            <w:vAlign w:val="center"/>
          </w:tcPr>
          <w:p w14:paraId="777FA04C"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-4</w:t>
            </w:r>
            <w:r w:rsidRPr="00800D22">
              <w:rPr>
                <w:sz w:val="18"/>
                <w:szCs w:val="18"/>
              </w:rPr>
              <w:t>，</w:t>
            </w:r>
            <w:r w:rsidRPr="00800D22">
              <w:rPr>
                <w:sz w:val="18"/>
                <w:szCs w:val="18"/>
              </w:rPr>
              <w:t>8</w:t>
            </w:r>
            <w:r w:rsidRPr="00800D22">
              <w:rPr>
                <w:sz w:val="18"/>
                <w:szCs w:val="18"/>
              </w:rPr>
              <w:t>）</w:t>
            </w:r>
          </w:p>
        </w:tc>
      </w:tr>
      <w:tr w:rsidR="009B11DE" w:rsidRPr="00800D22" w14:paraId="413970AD" w14:textId="77777777" w:rsidTr="00DB24B0">
        <w:trPr>
          <w:trHeight w:val="285"/>
          <w:jc w:val="center"/>
        </w:trPr>
        <w:tc>
          <w:tcPr>
            <w:tcW w:w="1166" w:type="dxa"/>
            <w:vMerge/>
            <w:vAlign w:val="center"/>
          </w:tcPr>
          <w:p w14:paraId="7F2E0760" w14:textId="77777777" w:rsidR="009B11DE" w:rsidRPr="00800D22" w:rsidRDefault="009B11DE" w:rsidP="00DB24B0">
            <w:pPr>
              <w:widowControl/>
              <w:textAlignment w:val="center"/>
              <w:rPr>
                <w:kern w:val="0"/>
                <w:sz w:val="18"/>
                <w:szCs w:val="18"/>
              </w:rPr>
            </w:pPr>
          </w:p>
        </w:tc>
        <w:tc>
          <w:tcPr>
            <w:tcW w:w="1159" w:type="dxa"/>
            <w:noWrap/>
            <w:vAlign w:val="center"/>
          </w:tcPr>
          <w:p w14:paraId="23DDD833" w14:textId="77777777" w:rsidR="009B11DE" w:rsidRPr="00800D22" w:rsidRDefault="009B11DE" w:rsidP="00DB24B0">
            <w:pPr>
              <w:adjustRightInd w:val="0"/>
              <w:textAlignment w:val="center"/>
              <w:rPr>
                <w:sz w:val="18"/>
                <w:szCs w:val="18"/>
              </w:rPr>
            </w:pPr>
            <w:r w:rsidRPr="00800D22">
              <w:rPr>
                <w:sz w:val="18"/>
                <w:szCs w:val="18"/>
              </w:rPr>
              <w:t>违约</w:t>
            </w:r>
          </w:p>
        </w:tc>
        <w:tc>
          <w:tcPr>
            <w:tcW w:w="1950" w:type="dxa"/>
            <w:noWrap/>
            <w:vAlign w:val="center"/>
          </w:tcPr>
          <w:p w14:paraId="10BBECC7"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8</w:t>
            </w:r>
            <w:r w:rsidRPr="00800D22">
              <w:rPr>
                <w:sz w:val="18"/>
                <w:szCs w:val="18"/>
              </w:rPr>
              <w:t>，</w:t>
            </w:r>
            <w:r w:rsidRPr="00800D22">
              <w:rPr>
                <w:sz w:val="18"/>
                <w:szCs w:val="18"/>
              </w:rPr>
              <w:t>-4</w:t>
            </w:r>
            <w:r w:rsidRPr="00800D22">
              <w:rPr>
                <w:sz w:val="18"/>
                <w:szCs w:val="18"/>
              </w:rPr>
              <w:t>）</w:t>
            </w:r>
          </w:p>
        </w:tc>
        <w:tc>
          <w:tcPr>
            <w:tcW w:w="1980" w:type="dxa"/>
            <w:noWrap/>
            <w:vAlign w:val="center"/>
          </w:tcPr>
          <w:p w14:paraId="14775661"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-2</w:t>
            </w:r>
            <w:r w:rsidRPr="00800D22">
              <w:rPr>
                <w:sz w:val="18"/>
                <w:szCs w:val="18"/>
              </w:rPr>
              <w:t>，</w:t>
            </w:r>
            <w:r w:rsidRPr="00800D22">
              <w:rPr>
                <w:sz w:val="18"/>
                <w:szCs w:val="18"/>
              </w:rPr>
              <w:t>-2</w:t>
            </w:r>
            <w:r w:rsidRPr="00800D22">
              <w:rPr>
                <w:sz w:val="18"/>
                <w:szCs w:val="18"/>
              </w:rPr>
              <w:t>）</w:t>
            </w:r>
          </w:p>
        </w:tc>
      </w:tr>
    </w:tbl>
    <w:p w14:paraId="53A4617B" w14:textId="77777777" w:rsidR="009B11DE" w:rsidRPr="00800D22" w:rsidRDefault="009B11DE" w:rsidP="009B11DE">
      <w:pPr>
        <w:spacing w:beforeLines="100" w:before="312" w:line="440" w:lineRule="exact"/>
        <w:ind w:firstLineChars="200" w:firstLine="480"/>
        <w:rPr>
          <w:sz w:val="24"/>
        </w:rPr>
      </w:pPr>
      <w:r w:rsidRPr="00800D22">
        <w:rPr>
          <w:sz w:val="24"/>
        </w:rPr>
        <w:t>在表</w:t>
      </w:r>
      <w:r w:rsidRPr="00800D22">
        <w:rPr>
          <w:sz w:val="24"/>
        </w:rPr>
        <w:t>2.1</w:t>
      </w:r>
      <w:r w:rsidRPr="00800D22">
        <w:rPr>
          <w:sz w:val="24"/>
        </w:rPr>
        <w:t>中（守信、违约）策略对双方都是最优选择，因为只要给定对方的</w:t>
      </w:r>
      <w:r w:rsidRPr="00800D22">
        <w:rPr>
          <w:rFonts w:hint="eastAsia"/>
          <w:sz w:val="24"/>
        </w:rPr>
        <w:t>策</w:t>
      </w:r>
      <w:r w:rsidRPr="00800D22">
        <w:rPr>
          <w:sz w:val="24"/>
        </w:rPr>
        <w:t>略，违约策略总能给违约</w:t>
      </w:r>
      <w:proofErr w:type="gramStart"/>
      <w:r w:rsidRPr="00800D22">
        <w:rPr>
          <w:sz w:val="24"/>
        </w:rPr>
        <w:t>方带来</w:t>
      </w:r>
      <w:proofErr w:type="gramEnd"/>
      <w:r w:rsidRPr="00800D22">
        <w:rPr>
          <w:sz w:val="24"/>
        </w:rPr>
        <w:t>更大的效用，在缺乏有效的制度约束条件下，</w:t>
      </w:r>
      <w:r w:rsidRPr="00800D22">
        <w:rPr>
          <w:sz w:val="24"/>
        </w:rPr>
        <w:lastRenderedPageBreak/>
        <w:t>违约行为不用付出额外的惩罚成本。双方博弈的结果无疑是（违约，违约），其得益为（</w:t>
      </w:r>
      <w:r w:rsidRPr="00800D22">
        <w:rPr>
          <w:sz w:val="24"/>
        </w:rPr>
        <w:t>-2</w:t>
      </w:r>
      <w:r w:rsidRPr="00800D22">
        <w:rPr>
          <w:sz w:val="24"/>
        </w:rPr>
        <w:t>，</w:t>
      </w:r>
      <w:r w:rsidRPr="00800D22">
        <w:rPr>
          <w:sz w:val="24"/>
        </w:rPr>
        <w:t>-2</w:t>
      </w:r>
      <w:r w:rsidRPr="00800D22">
        <w:rPr>
          <w:sz w:val="24"/>
        </w:rPr>
        <w:t>），即纳什均衡解。可见，在一次性博弈中，交易双方都不相信双方的交易能够长期的保持下去，对他们而言，选择违约是一种效益最大化的行为。因此，一次性博弈中难以建立起诚信关系。如果经济主体追求长期利益最大化，彼此之间就会进行长期合作，即进行重复博弈。重复博弈是建立信任关系的必要条件。一次博弈中的欺骗只能获得一次性收益，却会带来长期的损失。因为在重复博弈中，被骗的一方常会在下一轮的重复博弈中进行报复。在图</w:t>
      </w:r>
      <w:r w:rsidRPr="00800D22">
        <w:rPr>
          <w:rFonts w:hint="eastAsia"/>
          <w:sz w:val="24"/>
        </w:rPr>
        <w:t>2</w:t>
      </w:r>
      <w:r w:rsidRPr="00800D22">
        <w:rPr>
          <w:sz w:val="24"/>
        </w:rPr>
        <w:t>.2</w:t>
      </w:r>
      <w:r w:rsidRPr="00800D22">
        <w:rPr>
          <w:sz w:val="24"/>
        </w:rPr>
        <w:t>的博弈中，有两个纯策略纳什均衡：（守信，守信），（欺骗，欺骗）和一个混合策略纳什均衡（混合策略，混合策略）。和在表</w:t>
      </w:r>
      <w:r w:rsidRPr="00800D22">
        <w:rPr>
          <w:sz w:val="24"/>
        </w:rPr>
        <w:t>2.1</w:t>
      </w:r>
      <w:r w:rsidRPr="00800D22">
        <w:rPr>
          <w:sz w:val="24"/>
        </w:rPr>
        <w:t>中一样，这个一次性博弈中的纳什均衡对应着重复博弈的子博弈精练解。令（</w:t>
      </w:r>
      <w:r w:rsidRPr="00800D22">
        <w:rPr>
          <w:sz w:val="24"/>
        </w:rPr>
        <w:t>w</w:t>
      </w:r>
      <w:r w:rsidRPr="00800D22">
        <w:rPr>
          <w:sz w:val="24"/>
        </w:rPr>
        <w:t>，</w:t>
      </w:r>
      <w:r w:rsidRPr="00800D22">
        <w:rPr>
          <w:sz w:val="24"/>
        </w:rPr>
        <w:t>x</w:t>
      </w:r>
      <w:r w:rsidRPr="00800D22">
        <w:rPr>
          <w:sz w:val="24"/>
        </w:rPr>
        <w:t>）、（</w:t>
      </w:r>
      <w:r w:rsidRPr="00800D22">
        <w:rPr>
          <w:sz w:val="24"/>
        </w:rPr>
        <w:t>y</w:t>
      </w:r>
      <w:r w:rsidRPr="00800D22">
        <w:rPr>
          <w:sz w:val="24"/>
        </w:rPr>
        <w:t>，</w:t>
      </w:r>
      <w:r w:rsidRPr="00800D22">
        <w:rPr>
          <w:sz w:val="24"/>
        </w:rPr>
        <w:t>z</w:t>
      </w:r>
      <w:r w:rsidRPr="00800D22">
        <w:rPr>
          <w:sz w:val="24"/>
        </w:rPr>
        <w:t>）表示重复博弈的一个结果</w:t>
      </w:r>
      <w:r w:rsidRPr="00800D22">
        <w:rPr>
          <w:sz w:val="24"/>
        </w:rPr>
        <w:t>——</w:t>
      </w:r>
      <w:r w:rsidRPr="00800D22">
        <w:rPr>
          <w:sz w:val="24"/>
        </w:rPr>
        <w:t>第一次和第二次的行动分别为（</w:t>
      </w:r>
      <w:r w:rsidRPr="00800D22">
        <w:rPr>
          <w:sz w:val="24"/>
        </w:rPr>
        <w:t>w</w:t>
      </w:r>
      <w:r w:rsidRPr="00800D22">
        <w:rPr>
          <w:sz w:val="24"/>
        </w:rPr>
        <w:t>，</w:t>
      </w:r>
      <w:r w:rsidRPr="00800D22">
        <w:rPr>
          <w:sz w:val="24"/>
        </w:rPr>
        <w:t>x</w:t>
      </w:r>
      <w:r w:rsidRPr="00800D22">
        <w:rPr>
          <w:sz w:val="24"/>
        </w:rPr>
        <w:t>）和（</w:t>
      </w:r>
      <w:r w:rsidRPr="00800D22">
        <w:rPr>
          <w:sz w:val="24"/>
        </w:rPr>
        <w:t>y</w:t>
      </w:r>
      <w:r w:rsidRPr="00800D22">
        <w:rPr>
          <w:sz w:val="24"/>
        </w:rPr>
        <w:t>，</w:t>
      </w:r>
      <w:r w:rsidRPr="00800D22">
        <w:rPr>
          <w:sz w:val="24"/>
        </w:rPr>
        <w:t>z</w:t>
      </w:r>
      <w:r w:rsidRPr="00800D22">
        <w:rPr>
          <w:sz w:val="24"/>
        </w:rPr>
        <w:t>）。表</w:t>
      </w:r>
      <w:r w:rsidRPr="00800D22">
        <w:rPr>
          <w:sz w:val="24"/>
        </w:rPr>
        <w:t>2.2</w:t>
      </w:r>
      <w:r w:rsidRPr="00800D22">
        <w:rPr>
          <w:sz w:val="24"/>
        </w:rPr>
        <w:t>中的纳什均衡（欺骗，欺骗）对应着重复博弈的博弈精炼解（（欺骗，欺骗），（欺骗，欺骗））。因为除第一次博弈的结果是（守信，守信）外，其他任何情况发生时，第二次博弈的结果都将是（欺骗，欺骗）。</w:t>
      </w:r>
    </w:p>
    <w:p w14:paraId="643C9435" w14:textId="77777777" w:rsidR="009B11DE" w:rsidRPr="00800D22" w:rsidRDefault="009B11DE" w:rsidP="009B11DE">
      <w:pPr>
        <w:pStyle w:val="af5"/>
        <w:spacing w:beforeLines="100" w:before="312"/>
        <w:jc w:val="center"/>
        <w:rPr>
          <w:rFonts w:ascii="Times New Roman" w:eastAsia="新宋体" w:hAnsi="Times New Roman" w:cs="Times New Roman"/>
          <w:sz w:val="21"/>
          <w:szCs w:val="21"/>
        </w:rPr>
      </w:pPr>
      <w:bookmarkStart w:id="1" w:name="_Toc256506388"/>
      <w:r w:rsidRPr="00800D22">
        <w:rPr>
          <w:rFonts w:ascii="Times New Roman" w:eastAsia="新宋体" w:hAnsi="新宋体" w:cs="Times New Roman"/>
          <w:sz w:val="21"/>
          <w:szCs w:val="21"/>
        </w:rPr>
        <w:t>表</w:t>
      </w:r>
      <w:r w:rsidRPr="00800D22">
        <w:rPr>
          <w:rFonts w:ascii="Times New Roman" w:eastAsia="新宋体" w:hAnsi="Times New Roman" w:cs="Times New Roman"/>
          <w:sz w:val="21"/>
          <w:szCs w:val="21"/>
        </w:rPr>
        <w:t>2.</w:t>
      </w:r>
      <w:r w:rsidRPr="00800D22">
        <w:rPr>
          <w:rFonts w:ascii="Times New Roman" w:eastAsia="新宋体" w:hAnsi="Times New Roman" w:cs="Times New Roman"/>
          <w:sz w:val="21"/>
          <w:szCs w:val="21"/>
        </w:rPr>
        <w:fldChar w:fldCharType="begin"/>
      </w:r>
      <w:r w:rsidRPr="00800D22">
        <w:rPr>
          <w:rFonts w:ascii="Times New Roman" w:eastAsia="新宋体" w:hAnsi="Times New Roman" w:cs="Times New Roman"/>
          <w:sz w:val="21"/>
          <w:szCs w:val="21"/>
        </w:rPr>
        <w:instrText xml:space="preserve"> SEQ </w:instrText>
      </w:r>
      <w:r w:rsidRPr="00800D22">
        <w:rPr>
          <w:rFonts w:ascii="Times New Roman" w:eastAsia="新宋体" w:hAnsi="新宋体" w:cs="Times New Roman"/>
          <w:sz w:val="21"/>
          <w:szCs w:val="21"/>
        </w:rPr>
        <w:instrText>表</w:instrText>
      </w:r>
      <w:r w:rsidRPr="00800D22">
        <w:rPr>
          <w:rFonts w:ascii="Times New Roman" w:eastAsia="新宋体" w:hAnsi="Times New Roman" w:cs="Times New Roman"/>
          <w:sz w:val="21"/>
          <w:szCs w:val="21"/>
        </w:rPr>
        <w:instrText xml:space="preserve">2. \* ARABIC </w:instrText>
      </w:r>
      <w:r w:rsidRPr="00800D22">
        <w:rPr>
          <w:rFonts w:ascii="Times New Roman" w:eastAsia="新宋体" w:hAnsi="Times New Roman" w:cs="Times New Roman"/>
          <w:sz w:val="21"/>
          <w:szCs w:val="21"/>
        </w:rPr>
        <w:fldChar w:fldCharType="separate"/>
      </w:r>
      <w:r w:rsidRPr="00800D22">
        <w:rPr>
          <w:rFonts w:ascii="Times New Roman" w:eastAsia="新宋体" w:hAnsi="Times New Roman" w:cs="Times New Roman"/>
          <w:noProof/>
          <w:sz w:val="21"/>
          <w:szCs w:val="21"/>
        </w:rPr>
        <w:t>2</w:t>
      </w:r>
      <w:r w:rsidRPr="00800D22">
        <w:rPr>
          <w:rFonts w:ascii="Times New Roman" w:eastAsia="新宋体" w:hAnsi="Times New Roman" w:cs="Times New Roman"/>
          <w:sz w:val="21"/>
          <w:szCs w:val="21"/>
        </w:rPr>
        <w:fldChar w:fldCharType="end"/>
      </w:r>
      <w:r w:rsidRPr="00800D22">
        <w:rPr>
          <w:rFonts w:ascii="Times New Roman" w:eastAsia="新宋体" w:hAnsi="Times New Roman" w:cs="Times New Roman"/>
          <w:sz w:val="21"/>
          <w:szCs w:val="21"/>
        </w:rPr>
        <w:t xml:space="preserve">  </w:t>
      </w:r>
      <w:r w:rsidRPr="00800D22">
        <w:rPr>
          <w:rFonts w:ascii="Times New Roman" w:eastAsia="新宋体" w:hAnsi="新宋体" w:cs="Times New Roman"/>
          <w:sz w:val="21"/>
          <w:szCs w:val="21"/>
        </w:rPr>
        <w:t>重复博弈得益矩阵</w:t>
      </w:r>
      <w:bookmarkEnd w:id="1"/>
    </w:p>
    <w:p w14:paraId="030E9E02" w14:textId="77777777" w:rsidR="009B11DE" w:rsidRPr="00800D22" w:rsidRDefault="009B11DE" w:rsidP="009B11DE">
      <w:pPr>
        <w:adjustRightInd w:val="0"/>
        <w:jc w:val="center"/>
        <w:rPr>
          <w:rFonts w:eastAsia="新宋体" w:hint="eastAsia"/>
          <w:szCs w:val="21"/>
        </w:rPr>
      </w:pPr>
      <w:r w:rsidRPr="00800D22">
        <w:rPr>
          <w:rFonts w:eastAsia="新宋体" w:hint="eastAsia"/>
          <w:szCs w:val="21"/>
        </w:rPr>
        <w:t xml:space="preserve">Table </w:t>
      </w:r>
      <w:proofErr w:type="gramStart"/>
      <w:r w:rsidRPr="00800D22">
        <w:rPr>
          <w:rFonts w:eastAsia="新宋体" w:hint="eastAsia"/>
          <w:szCs w:val="21"/>
        </w:rPr>
        <w:t xml:space="preserve">2.2  </w:t>
      </w:r>
      <w:r w:rsidRPr="00800D22">
        <w:rPr>
          <w:rFonts w:eastAsia="新宋体"/>
          <w:szCs w:val="21"/>
        </w:rPr>
        <w:t>Payoff</w:t>
      </w:r>
      <w:proofErr w:type="gramEnd"/>
      <w:r w:rsidRPr="00800D22">
        <w:rPr>
          <w:rFonts w:eastAsia="新宋体"/>
          <w:szCs w:val="21"/>
        </w:rPr>
        <w:t xml:space="preserve"> </w:t>
      </w:r>
      <w:r w:rsidRPr="00800D22">
        <w:rPr>
          <w:rFonts w:eastAsia="新宋体" w:hint="eastAsia"/>
          <w:szCs w:val="21"/>
        </w:rPr>
        <w:t>m</w:t>
      </w:r>
      <w:r w:rsidRPr="00800D22">
        <w:rPr>
          <w:rFonts w:eastAsia="新宋体"/>
          <w:szCs w:val="21"/>
        </w:rPr>
        <w:t>atrix</w:t>
      </w:r>
      <w:r w:rsidRPr="00800D22">
        <w:rPr>
          <w:rFonts w:eastAsia="新宋体" w:hint="eastAsia"/>
          <w:szCs w:val="21"/>
        </w:rPr>
        <w:t xml:space="preserve"> of </w:t>
      </w:r>
      <w:r w:rsidRPr="00800D22">
        <w:rPr>
          <w:rFonts w:eastAsia="新宋体"/>
          <w:szCs w:val="21"/>
        </w:rPr>
        <w:t>repeated games</w:t>
      </w:r>
    </w:p>
    <w:tbl>
      <w:tblPr>
        <w:tblW w:w="7638" w:type="dxa"/>
        <w:jc w:val="center"/>
        <w:tblBorders>
          <w:top w:val="single" w:sz="4" w:space="0" w:color="auto"/>
          <w:bottom w:val="single" w:sz="4" w:space="0" w:color="auto"/>
        </w:tblBorders>
        <w:tblLook w:val="0000" w:firstRow="0" w:lastRow="0" w:firstColumn="0" w:lastColumn="0" w:noHBand="0" w:noVBand="0"/>
      </w:tblPr>
      <w:tblGrid>
        <w:gridCol w:w="1084"/>
        <w:gridCol w:w="1997"/>
        <w:gridCol w:w="1516"/>
        <w:gridCol w:w="1369"/>
        <w:gridCol w:w="1672"/>
      </w:tblGrid>
      <w:tr w:rsidR="009B11DE" w:rsidRPr="00800D22" w14:paraId="665B366C" w14:textId="77777777" w:rsidTr="00DB24B0">
        <w:trPr>
          <w:trHeight w:val="285"/>
          <w:jc w:val="center"/>
        </w:trPr>
        <w:tc>
          <w:tcPr>
            <w:tcW w:w="3081" w:type="dxa"/>
            <w:gridSpan w:val="2"/>
            <w:vMerge w:val="restart"/>
            <w:tcBorders>
              <w:top w:val="single" w:sz="4" w:space="0" w:color="auto"/>
              <w:bottom w:val="nil"/>
            </w:tcBorders>
            <w:noWrap/>
            <w:vAlign w:val="center"/>
          </w:tcPr>
          <w:p w14:paraId="62D063A7" w14:textId="77777777" w:rsidR="009B11DE" w:rsidRPr="00800D22" w:rsidRDefault="009B11DE" w:rsidP="00DB24B0">
            <w:pPr>
              <w:adjustRightInd w:val="0"/>
              <w:jc w:val="center"/>
              <w:textAlignment w:val="center"/>
              <w:rPr>
                <w:szCs w:val="21"/>
              </w:rPr>
            </w:pPr>
          </w:p>
        </w:tc>
        <w:tc>
          <w:tcPr>
            <w:tcW w:w="4557" w:type="dxa"/>
            <w:gridSpan w:val="3"/>
            <w:tcBorders>
              <w:top w:val="single" w:sz="4" w:space="0" w:color="auto"/>
              <w:bottom w:val="nil"/>
            </w:tcBorders>
            <w:noWrap/>
            <w:vAlign w:val="center"/>
          </w:tcPr>
          <w:p w14:paraId="6F8BEEF6" w14:textId="77777777" w:rsidR="009B11DE" w:rsidRPr="00800D22" w:rsidRDefault="009B11DE" w:rsidP="00DB24B0">
            <w:pPr>
              <w:adjustRightInd w:val="0"/>
              <w:jc w:val="center"/>
              <w:textAlignment w:val="center"/>
              <w:rPr>
                <w:szCs w:val="21"/>
              </w:rPr>
            </w:pPr>
            <w:r w:rsidRPr="00800D22">
              <w:rPr>
                <w:szCs w:val="21"/>
              </w:rPr>
              <w:t>A</w:t>
            </w:r>
          </w:p>
        </w:tc>
      </w:tr>
      <w:tr w:rsidR="009B11DE" w:rsidRPr="00800D22" w14:paraId="1A618F4E" w14:textId="77777777" w:rsidTr="00DB24B0">
        <w:trPr>
          <w:trHeight w:val="285"/>
          <w:jc w:val="center"/>
        </w:trPr>
        <w:tc>
          <w:tcPr>
            <w:tcW w:w="3081" w:type="dxa"/>
            <w:gridSpan w:val="2"/>
            <w:vMerge/>
            <w:tcBorders>
              <w:top w:val="nil"/>
              <w:bottom w:val="single" w:sz="4" w:space="0" w:color="auto"/>
            </w:tcBorders>
            <w:vAlign w:val="center"/>
          </w:tcPr>
          <w:p w14:paraId="5443AC2B" w14:textId="77777777" w:rsidR="009B11DE" w:rsidRPr="00800D22" w:rsidRDefault="009B11DE" w:rsidP="00DB24B0">
            <w:pPr>
              <w:adjustRightInd w:val="0"/>
              <w:jc w:val="center"/>
              <w:textAlignment w:val="center"/>
              <w:rPr>
                <w:szCs w:val="21"/>
              </w:rPr>
            </w:pPr>
          </w:p>
        </w:tc>
        <w:tc>
          <w:tcPr>
            <w:tcW w:w="1516" w:type="dxa"/>
            <w:tcBorders>
              <w:top w:val="nil"/>
              <w:bottom w:val="single" w:sz="4" w:space="0" w:color="auto"/>
            </w:tcBorders>
            <w:noWrap/>
            <w:vAlign w:val="center"/>
          </w:tcPr>
          <w:p w14:paraId="4330CCC8" w14:textId="77777777" w:rsidR="009B11DE" w:rsidRPr="00800D22" w:rsidRDefault="009B11DE" w:rsidP="00DB24B0">
            <w:pPr>
              <w:adjustRightInd w:val="0"/>
              <w:textAlignment w:val="center"/>
              <w:rPr>
                <w:szCs w:val="21"/>
              </w:rPr>
            </w:pPr>
            <w:r w:rsidRPr="00800D22">
              <w:rPr>
                <w:szCs w:val="21"/>
              </w:rPr>
              <w:t>守信</w:t>
            </w:r>
          </w:p>
        </w:tc>
        <w:tc>
          <w:tcPr>
            <w:tcW w:w="1369" w:type="dxa"/>
            <w:tcBorders>
              <w:top w:val="nil"/>
              <w:bottom w:val="single" w:sz="4" w:space="0" w:color="auto"/>
            </w:tcBorders>
            <w:noWrap/>
            <w:vAlign w:val="center"/>
          </w:tcPr>
          <w:p w14:paraId="422CE25B" w14:textId="77777777" w:rsidR="009B11DE" w:rsidRPr="00800D22" w:rsidRDefault="009B11DE" w:rsidP="00DB24B0">
            <w:pPr>
              <w:adjustRightInd w:val="0"/>
              <w:textAlignment w:val="center"/>
              <w:rPr>
                <w:szCs w:val="21"/>
              </w:rPr>
            </w:pPr>
            <w:r w:rsidRPr="00800D22">
              <w:rPr>
                <w:szCs w:val="21"/>
              </w:rPr>
              <w:t>欺骗</w:t>
            </w:r>
          </w:p>
        </w:tc>
        <w:tc>
          <w:tcPr>
            <w:tcW w:w="1672" w:type="dxa"/>
            <w:tcBorders>
              <w:top w:val="nil"/>
              <w:bottom w:val="single" w:sz="4" w:space="0" w:color="auto"/>
            </w:tcBorders>
            <w:noWrap/>
            <w:vAlign w:val="center"/>
          </w:tcPr>
          <w:p w14:paraId="4EF4A4C2" w14:textId="77777777" w:rsidR="009B11DE" w:rsidRPr="00800D22" w:rsidRDefault="009B11DE" w:rsidP="00DB24B0">
            <w:pPr>
              <w:adjustRightInd w:val="0"/>
              <w:textAlignment w:val="center"/>
              <w:rPr>
                <w:szCs w:val="21"/>
              </w:rPr>
            </w:pPr>
            <w:r w:rsidRPr="00800D22">
              <w:rPr>
                <w:szCs w:val="21"/>
              </w:rPr>
              <w:t>混合策略</w:t>
            </w:r>
          </w:p>
        </w:tc>
      </w:tr>
      <w:tr w:rsidR="009B11DE" w:rsidRPr="00800D22" w14:paraId="579EBB28" w14:textId="77777777" w:rsidTr="00DB24B0">
        <w:trPr>
          <w:trHeight w:val="285"/>
          <w:jc w:val="center"/>
        </w:trPr>
        <w:tc>
          <w:tcPr>
            <w:tcW w:w="1084" w:type="dxa"/>
            <w:vMerge w:val="restart"/>
            <w:tcBorders>
              <w:top w:val="single" w:sz="4" w:space="0" w:color="auto"/>
            </w:tcBorders>
            <w:noWrap/>
            <w:vAlign w:val="center"/>
          </w:tcPr>
          <w:p w14:paraId="2BC35B3C" w14:textId="77777777" w:rsidR="009B11DE" w:rsidRPr="00800D22" w:rsidRDefault="009B11DE" w:rsidP="00DB24B0">
            <w:pPr>
              <w:adjustRightInd w:val="0"/>
              <w:textAlignment w:val="center"/>
              <w:rPr>
                <w:sz w:val="18"/>
                <w:szCs w:val="18"/>
              </w:rPr>
            </w:pPr>
            <w:r w:rsidRPr="00800D22">
              <w:rPr>
                <w:sz w:val="18"/>
                <w:szCs w:val="18"/>
              </w:rPr>
              <w:t>B</w:t>
            </w:r>
          </w:p>
        </w:tc>
        <w:tc>
          <w:tcPr>
            <w:tcW w:w="1997" w:type="dxa"/>
            <w:tcBorders>
              <w:top w:val="single" w:sz="4" w:space="0" w:color="auto"/>
            </w:tcBorders>
            <w:noWrap/>
            <w:vAlign w:val="center"/>
          </w:tcPr>
          <w:p w14:paraId="008FD39C" w14:textId="77777777" w:rsidR="009B11DE" w:rsidRPr="00800D22" w:rsidRDefault="009B11DE" w:rsidP="00DB24B0">
            <w:pPr>
              <w:adjustRightInd w:val="0"/>
              <w:textAlignment w:val="center"/>
              <w:rPr>
                <w:sz w:val="18"/>
                <w:szCs w:val="18"/>
              </w:rPr>
            </w:pPr>
            <w:r w:rsidRPr="00800D22">
              <w:rPr>
                <w:sz w:val="18"/>
                <w:szCs w:val="18"/>
              </w:rPr>
              <w:t>守信</w:t>
            </w:r>
          </w:p>
        </w:tc>
        <w:tc>
          <w:tcPr>
            <w:tcW w:w="1516" w:type="dxa"/>
            <w:tcBorders>
              <w:top w:val="single" w:sz="4" w:space="0" w:color="auto"/>
            </w:tcBorders>
            <w:noWrap/>
            <w:vAlign w:val="center"/>
          </w:tcPr>
          <w:p w14:paraId="28B5ADBD"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5</w:t>
            </w:r>
            <w:r w:rsidRPr="00800D22">
              <w:rPr>
                <w:sz w:val="18"/>
                <w:szCs w:val="18"/>
              </w:rPr>
              <w:t>，</w:t>
            </w:r>
            <w:r w:rsidRPr="00800D22">
              <w:rPr>
                <w:sz w:val="18"/>
                <w:szCs w:val="18"/>
              </w:rPr>
              <w:t>5</w:t>
            </w:r>
            <w:r w:rsidRPr="00800D22">
              <w:rPr>
                <w:sz w:val="18"/>
                <w:szCs w:val="18"/>
              </w:rPr>
              <w:t>）</w:t>
            </w:r>
          </w:p>
        </w:tc>
        <w:tc>
          <w:tcPr>
            <w:tcW w:w="1369" w:type="dxa"/>
            <w:tcBorders>
              <w:top w:val="single" w:sz="4" w:space="0" w:color="auto"/>
            </w:tcBorders>
            <w:noWrap/>
            <w:vAlign w:val="center"/>
          </w:tcPr>
          <w:p w14:paraId="5CD6E9A0"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-4</w:t>
            </w:r>
            <w:r w:rsidRPr="00800D22">
              <w:rPr>
                <w:sz w:val="18"/>
                <w:szCs w:val="18"/>
              </w:rPr>
              <w:t>，</w:t>
            </w:r>
            <w:r w:rsidRPr="00800D22">
              <w:rPr>
                <w:sz w:val="18"/>
                <w:szCs w:val="18"/>
              </w:rPr>
              <w:t>8</w:t>
            </w:r>
            <w:r w:rsidRPr="00800D22">
              <w:rPr>
                <w:sz w:val="18"/>
                <w:szCs w:val="18"/>
              </w:rPr>
              <w:t>）</w:t>
            </w:r>
          </w:p>
        </w:tc>
        <w:tc>
          <w:tcPr>
            <w:tcW w:w="1672" w:type="dxa"/>
            <w:tcBorders>
              <w:top w:val="single" w:sz="4" w:space="0" w:color="auto"/>
            </w:tcBorders>
            <w:noWrap/>
            <w:vAlign w:val="center"/>
          </w:tcPr>
          <w:p w14:paraId="3BCD8CC8"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0.5</w:t>
            </w:r>
            <w:r w:rsidRPr="00800D22">
              <w:rPr>
                <w:sz w:val="18"/>
                <w:szCs w:val="18"/>
              </w:rPr>
              <w:t>，</w:t>
            </w:r>
            <w:r w:rsidRPr="00800D22">
              <w:rPr>
                <w:sz w:val="18"/>
                <w:szCs w:val="18"/>
              </w:rPr>
              <w:t>6.5</w:t>
            </w:r>
            <w:r w:rsidRPr="00800D22">
              <w:rPr>
                <w:sz w:val="18"/>
                <w:szCs w:val="18"/>
              </w:rPr>
              <w:t>）</w:t>
            </w:r>
          </w:p>
        </w:tc>
      </w:tr>
      <w:tr w:rsidR="009B11DE" w:rsidRPr="00800D22" w14:paraId="4B657CE6" w14:textId="77777777" w:rsidTr="00DB24B0">
        <w:trPr>
          <w:trHeight w:val="285"/>
          <w:jc w:val="center"/>
        </w:trPr>
        <w:tc>
          <w:tcPr>
            <w:tcW w:w="1084" w:type="dxa"/>
            <w:vMerge/>
            <w:vAlign w:val="center"/>
          </w:tcPr>
          <w:p w14:paraId="7F7ED9F3" w14:textId="77777777" w:rsidR="009B11DE" w:rsidRPr="00800D22" w:rsidRDefault="009B11DE" w:rsidP="00DB24B0">
            <w:pPr>
              <w:adjustRightInd w:val="0"/>
              <w:textAlignment w:val="center"/>
              <w:rPr>
                <w:sz w:val="18"/>
                <w:szCs w:val="18"/>
              </w:rPr>
            </w:pPr>
          </w:p>
        </w:tc>
        <w:tc>
          <w:tcPr>
            <w:tcW w:w="1997" w:type="dxa"/>
            <w:noWrap/>
            <w:vAlign w:val="center"/>
          </w:tcPr>
          <w:p w14:paraId="407C391C" w14:textId="77777777" w:rsidR="009B11DE" w:rsidRPr="00800D22" w:rsidRDefault="009B11DE" w:rsidP="00DB24B0">
            <w:pPr>
              <w:adjustRightInd w:val="0"/>
              <w:textAlignment w:val="center"/>
              <w:rPr>
                <w:sz w:val="18"/>
                <w:szCs w:val="18"/>
              </w:rPr>
            </w:pPr>
            <w:r w:rsidRPr="00800D22">
              <w:rPr>
                <w:sz w:val="18"/>
                <w:szCs w:val="18"/>
              </w:rPr>
              <w:t>欺骗</w:t>
            </w:r>
          </w:p>
        </w:tc>
        <w:tc>
          <w:tcPr>
            <w:tcW w:w="1516" w:type="dxa"/>
            <w:noWrap/>
            <w:vAlign w:val="center"/>
          </w:tcPr>
          <w:p w14:paraId="78A7CE7F"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8</w:t>
            </w:r>
            <w:r w:rsidRPr="00800D22">
              <w:rPr>
                <w:sz w:val="18"/>
                <w:szCs w:val="18"/>
              </w:rPr>
              <w:t>，</w:t>
            </w:r>
            <w:r w:rsidRPr="00800D22">
              <w:rPr>
                <w:sz w:val="18"/>
                <w:szCs w:val="18"/>
              </w:rPr>
              <w:t>-4</w:t>
            </w:r>
            <w:r w:rsidRPr="00800D22">
              <w:rPr>
                <w:sz w:val="18"/>
                <w:szCs w:val="18"/>
              </w:rPr>
              <w:t>）</w:t>
            </w:r>
          </w:p>
        </w:tc>
        <w:tc>
          <w:tcPr>
            <w:tcW w:w="1369" w:type="dxa"/>
            <w:noWrap/>
            <w:vAlign w:val="center"/>
          </w:tcPr>
          <w:p w14:paraId="58A9CA7B"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-2</w:t>
            </w:r>
            <w:r w:rsidRPr="00800D22">
              <w:rPr>
                <w:sz w:val="18"/>
                <w:szCs w:val="18"/>
              </w:rPr>
              <w:t>，</w:t>
            </w:r>
            <w:r w:rsidRPr="00800D22">
              <w:rPr>
                <w:sz w:val="18"/>
                <w:szCs w:val="18"/>
              </w:rPr>
              <w:t>-2</w:t>
            </w:r>
            <w:r w:rsidRPr="00800D22">
              <w:rPr>
                <w:sz w:val="18"/>
                <w:szCs w:val="18"/>
              </w:rPr>
              <w:t>）</w:t>
            </w:r>
          </w:p>
        </w:tc>
        <w:tc>
          <w:tcPr>
            <w:tcW w:w="1672" w:type="dxa"/>
            <w:noWrap/>
            <w:vAlign w:val="center"/>
          </w:tcPr>
          <w:p w14:paraId="04C9C3B4"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3</w:t>
            </w:r>
            <w:r w:rsidRPr="00800D22">
              <w:rPr>
                <w:sz w:val="18"/>
                <w:szCs w:val="18"/>
              </w:rPr>
              <w:t>，</w:t>
            </w:r>
            <w:r w:rsidRPr="00800D22">
              <w:rPr>
                <w:sz w:val="18"/>
                <w:szCs w:val="18"/>
              </w:rPr>
              <w:t>-3</w:t>
            </w:r>
            <w:r w:rsidRPr="00800D22">
              <w:rPr>
                <w:sz w:val="18"/>
                <w:szCs w:val="18"/>
              </w:rPr>
              <w:t>）</w:t>
            </w:r>
          </w:p>
        </w:tc>
      </w:tr>
      <w:tr w:rsidR="009B11DE" w:rsidRPr="00800D22" w14:paraId="37AD7A90" w14:textId="77777777" w:rsidTr="00DB24B0">
        <w:trPr>
          <w:trHeight w:val="285"/>
          <w:jc w:val="center"/>
        </w:trPr>
        <w:tc>
          <w:tcPr>
            <w:tcW w:w="1084" w:type="dxa"/>
            <w:vMerge/>
            <w:vAlign w:val="center"/>
          </w:tcPr>
          <w:p w14:paraId="0F75595A" w14:textId="77777777" w:rsidR="009B11DE" w:rsidRPr="00800D22" w:rsidRDefault="009B11DE" w:rsidP="00DB24B0">
            <w:pPr>
              <w:adjustRightInd w:val="0"/>
              <w:textAlignment w:val="center"/>
              <w:rPr>
                <w:sz w:val="18"/>
                <w:szCs w:val="18"/>
              </w:rPr>
            </w:pPr>
          </w:p>
        </w:tc>
        <w:tc>
          <w:tcPr>
            <w:tcW w:w="1997" w:type="dxa"/>
            <w:noWrap/>
            <w:vAlign w:val="center"/>
          </w:tcPr>
          <w:p w14:paraId="23F18459" w14:textId="77777777" w:rsidR="009B11DE" w:rsidRPr="00800D22" w:rsidRDefault="009B11DE" w:rsidP="00DB24B0">
            <w:pPr>
              <w:adjustRightInd w:val="0"/>
              <w:textAlignment w:val="center"/>
              <w:rPr>
                <w:sz w:val="18"/>
                <w:szCs w:val="18"/>
              </w:rPr>
            </w:pPr>
            <w:r w:rsidRPr="00800D22">
              <w:rPr>
                <w:sz w:val="18"/>
                <w:szCs w:val="18"/>
              </w:rPr>
              <w:t>混合策略</w:t>
            </w:r>
          </w:p>
        </w:tc>
        <w:tc>
          <w:tcPr>
            <w:tcW w:w="1516" w:type="dxa"/>
            <w:noWrap/>
            <w:vAlign w:val="center"/>
          </w:tcPr>
          <w:p w14:paraId="036F1C15"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6.5</w:t>
            </w:r>
            <w:r w:rsidRPr="00800D22">
              <w:rPr>
                <w:sz w:val="18"/>
                <w:szCs w:val="18"/>
              </w:rPr>
              <w:t>，</w:t>
            </w:r>
            <w:r w:rsidRPr="00800D22">
              <w:rPr>
                <w:sz w:val="18"/>
                <w:szCs w:val="18"/>
              </w:rPr>
              <w:t>0.5</w:t>
            </w:r>
            <w:r w:rsidRPr="00800D22">
              <w:rPr>
                <w:sz w:val="18"/>
                <w:szCs w:val="18"/>
              </w:rPr>
              <w:t>）</w:t>
            </w:r>
          </w:p>
        </w:tc>
        <w:tc>
          <w:tcPr>
            <w:tcW w:w="1369" w:type="dxa"/>
            <w:noWrap/>
            <w:vAlign w:val="center"/>
          </w:tcPr>
          <w:p w14:paraId="58950B9F"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-3</w:t>
            </w:r>
            <w:r w:rsidRPr="00800D22">
              <w:rPr>
                <w:sz w:val="18"/>
                <w:szCs w:val="18"/>
              </w:rPr>
              <w:t>，</w:t>
            </w:r>
            <w:r w:rsidRPr="00800D22">
              <w:rPr>
                <w:sz w:val="18"/>
                <w:szCs w:val="18"/>
              </w:rPr>
              <w:t>3</w:t>
            </w:r>
            <w:r w:rsidRPr="00800D22">
              <w:rPr>
                <w:sz w:val="18"/>
                <w:szCs w:val="18"/>
              </w:rPr>
              <w:t>）</w:t>
            </w:r>
          </w:p>
        </w:tc>
        <w:tc>
          <w:tcPr>
            <w:tcW w:w="1672" w:type="dxa"/>
            <w:noWrap/>
            <w:vAlign w:val="center"/>
          </w:tcPr>
          <w:p w14:paraId="68EBC33A" w14:textId="77777777" w:rsidR="009B11DE" w:rsidRPr="00800D22" w:rsidRDefault="009B11DE" w:rsidP="00DB24B0">
            <w:pPr>
              <w:adjustRightInd w:val="0"/>
              <w:textAlignment w:val="center"/>
              <w:rPr>
                <w:sz w:val="18"/>
                <w:szCs w:val="18"/>
              </w:rPr>
            </w:pPr>
            <w:r w:rsidRPr="00800D22">
              <w:rPr>
                <w:sz w:val="18"/>
                <w:szCs w:val="18"/>
              </w:rPr>
              <w:t>（</w:t>
            </w:r>
            <w:r w:rsidRPr="00800D22">
              <w:rPr>
                <w:sz w:val="18"/>
                <w:szCs w:val="18"/>
              </w:rPr>
              <w:t>1.5</w:t>
            </w:r>
            <w:r w:rsidRPr="00800D22">
              <w:rPr>
                <w:sz w:val="18"/>
                <w:szCs w:val="18"/>
              </w:rPr>
              <w:t>，</w:t>
            </w:r>
            <w:r w:rsidRPr="00800D22">
              <w:rPr>
                <w:sz w:val="18"/>
                <w:szCs w:val="18"/>
              </w:rPr>
              <w:t>1.5</w:t>
            </w:r>
            <w:r w:rsidRPr="00800D22">
              <w:rPr>
                <w:sz w:val="18"/>
                <w:szCs w:val="18"/>
              </w:rPr>
              <w:t>）</w:t>
            </w:r>
          </w:p>
        </w:tc>
      </w:tr>
    </w:tbl>
    <w:p w14:paraId="1543AEC5" w14:textId="77777777" w:rsidR="009B11DE" w:rsidRPr="00800D22" w:rsidRDefault="009B11DE" w:rsidP="009B11DE">
      <w:pPr>
        <w:spacing w:beforeLines="100" w:before="312" w:line="440" w:lineRule="exact"/>
        <w:ind w:firstLineChars="200" w:firstLine="480"/>
        <w:rPr>
          <w:sz w:val="24"/>
        </w:rPr>
      </w:pPr>
      <w:r w:rsidRPr="00800D22">
        <w:rPr>
          <w:sz w:val="24"/>
        </w:rPr>
        <w:t>即如果在第一次博弈中</w:t>
      </w:r>
      <w:r w:rsidRPr="00800D22">
        <w:rPr>
          <w:sz w:val="24"/>
        </w:rPr>
        <w:t>A</w:t>
      </w:r>
      <w:r w:rsidRPr="00800D22">
        <w:rPr>
          <w:sz w:val="24"/>
        </w:rPr>
        <w:t>选择守信，</w:t>
      </w:r>
      <w:r w:rsidRPr="00800D22">
        <w:rPr>
          <w:sz w:val="24"/>
        </w:rPr>
        <w:t>B</w:t>
      </w:r>
      <w:r w:rsidRPr="00800D22">
        <w:rPr>
          <w:sz w:val="24"/>
        </w:rPr>
        <w:t>也选择守信，博弈的结果显然是（守信，守信），而且这一结果还会继续下去。但是，如果</w:t>
      </w:r>
      <w:r w:rsidRPr="00800D22">
        <w:rPr>
          <w:sz w:val="24"/>
        </w:rPr>
        <w:t>A</w:t>
      </w:r>
      <w:r w:rsidRPr="00800D22">
        <w:rPr>
          <w:sz w:val="24"/>
        </w:rPr>
        <w:t>选择守信，</w:t>
      </w:r>
      <w:r w:rsidRPr="00800D22">
        <w:rPr>
          <w:sz w:val="24"/>
        </w:rPr>
        <w:t>B</w:t>
      </w:r>
      <w:r w:rsidRPr="00800D22">
        <w:rPr>
          <w:sz w:val="24"/>
        </w:rPr>
        <w:t>选择欺骗，博弈的结果显然是（守信，欺骗），则在第二次博弈中</w:t>
      </w:r>
      <w:r w:rsidRPr="00800D22">
        <w:rPr>
          <w:sz w:val="24"/>
        </w:rPr>
        <w:t>A</w:t>
      </w:r>
      <w:r w:rsidRPr="00800D22">
        <w:rPr>
          <w:sz w:val="24"/>
        </w:rPr>
        <w:t>就会进行报复，无论</w:t>
      </w:r>
      <w:r w:rsidRPr="00800D22">
        <w:rPr>
          <w:sz w:val="24"/>
        </w:rPr>
        <w:t>B</w:t>
      </w:r>
      <w:r w:rsidRPr="00800D22">
        <w:rPr>
          <w:sz w:val="24"/>
        </w:rPr>
        <w:t>选择何种策略，</w:t>
      </w:r>
      <w:r w:rsidRPr="00800D22">
        <w:rPr>
          <w:sz w:val="24"/>
        </w:rPr>
        <w:t>A</w:t>
      </w:r>
      <w:r w:rsidRPr="00800D22">
        <w:rPr>
          <w:sz w:val="24"/>
        </w:rPr>
        <w:t>都选择欺骗，</w:t>
      </w:r>
      <w:r w:rsidRPr="00800D22">
        <w:rPr>
          <w:sz w:val="24"/>
        </w:rPr>
        <w:t>B</w:t>
      </w:r>
      <w:r w:rsidRPr="00800D22">
        <w:rPr>
          <w:sz w:val="24"/>
        </w:rPr>
        <w:t>想到</w:t>
      </w:r>
      <w:r w:rsidRPr="00800D22">
        <w:rPr>
          <w:sz w:val="24"/>
        </w:rPr>
        <w:t>A</w:t>
      </w:r>
      <w:r w:rsidRPr="00800D22">
        <w:rPr>
          <w:sz w:val="24"/>
        </w:rPr>
        <w:t>会选择欺骗，</w:t>
      </w:r>
      <w:r w:rsidRPr="00800D22">
        <w:rPr>
          <w:sz w:val="24"/>
        </w:rPr>
        <w:t>B</w:t>
      </w:r>
      <w:r w:rsidRPr="00800D22">
        <w:rPr>
          <w:sz w:val="24"/>
        </w:rPr>
        <w:t>的最优选择也是欺骗。所以，第二次博弈的结果必然是（欺骗，欺骗），而且这一结果也会继续下去。如果</w:t>
      </w:r>
      <w:r w:rsidRPr="00800D22">
        <w:rPr>
          <w:sz w:val="24"/>
        </w:rPr>
        <w:t>B</w:t>
      </w:r>
      <w:proofErr w:type="gramStart"/>
      <w:r w:rsidRPr="00800D22">
        <w:rPr>
          <w:sz w:val="24"/>
        </w:rPr>
        <w:t>不</w:t>
      </w:r>
      <w:proofErr w:type="gramEnd"/>
      <w:r w:rsidRPr="00800D22">
        <w:rPr>
          <w:sz w:val="24"/>
        </w:rPr>
        <w:t>想得到这样的结果，那么，在第一次博弈的最优选择是守信。因此，在重复博弈中，纯策略纳什均衡解是（守信，守信）。</w:t>
      </w:r>
    </w:p>
    <w:p w14:paraId="609487D7" w14:textId="77777777" w:rsidR="009B11DE" w:rsidRPr="00800D22" w:rsidRDefault="009B11DE" w:rsidP="009B11DE">
      <w:pPr>
        <w:numPr>
          <w:ilvl w:val="0"/>
          <w:numId w:val="1"/>
        </w:numPr>
        <w:spacing w:line="440" w:lineRule="exact"/>
        <w:rPr>
          <w:sz w:val="24"/>
        </w:rPr>
      </w:pPr>
      <w:r w:rsidRPr="00800D22">
        <w:rPr>
          <w:sz w:val="24"/>
        </w:rPr>
        <w:t>完全信息条件下的动态博弈模型</w:t>
      </w:r>
    </w:p>
    <w:p w14:paraId="3D2C3FDD" w14:textId="77777777" w:rsidR="009B11DE" w:rsidRPr="00800D22" w:rsidRDefault="009B11DE" w:rsidP="009B11DE">
      <w:pPr>
        <w:spacing w:line="440" w:lineRule="exact"/>
        <w:ind w:firstLineChars="200" w:firstLine="480"/>
        <w:rPr>
          <w:sz w:val="24"/>
        </w:rPr>
      </w:pPr>
      <w:r w:rsidRPr="00800D22">
        <w:rPr>
          <w:sz w:val="24"/>
        </w:rPr>
        <w:t>完全信息动态博弈是指各博弈方以此选择决策行为，且后选择行为能够观察先选择行为者的选择内容而进行的博弈。假定</w:t>
      </w:r>
      <w:proofErr w:type="gramStart"/>
      <w:r w:rsidRPr="00800D22">
        <w:rPr>
          <w:sz w:val="24"/>
        </w:rPr>
        <w:t>授信方</w:t>
      </w:r>
      <w:proofErr w:type="gramEnd"/>
      <w:r w:rsidRPr="00800D22">
        <w:rPr>
          <w:sz w:val="24"/>
        </w:rPr>
        <w:t>A</w:t>
      </w:r>
      <w:r w:rsidRPr="00800D22">
        <w:rPr>
          <w:sz w:val="24"/>
        </w:rPr>
        <w:t>根据</w:t>
      </w:r>
      <w:proofErr w:type="gramStart"/>
      <w:r w:rsidRPr="00800D22">
        <w:rPr>
          <w:sz w:val="24"/>
        </w:rPr>
        <w:t>受信方</w:t>
      </w:r>
      <w:proofErr w:type="gramEnd"/>
      <w:r w:rsidRPr="00800D22">
        <w:rPr>
          <w:sz w:val="24"/>
        </w:rPr>
        <w:t>B</w:t>
      </w:r>
      <w:r w:rsidRPr="00800D22">
        <w:rPr>
          <w:sz w:val="24"/>
        </w:rPr>
        <w:t>的初始信用状况进行授信，如果</w:t>
      </w:r>
      <w:proofErr w:type="gramStart"/>
      <w:r w:rsidRPr="00800D22">
        <w:rPr>
          <w:sz w:val="24"/>
        </w:rPr>
        <w:t>受信方</w:t>
      </w:r>
      <w:proofErr w:type="gramEnd"/>
      <w:r w:rsidRPr="00800D22">
        <w:rPr>
          <w:sz w:val="24"/>
        </w:rPr>
        <w:t>B</w:t>
      </w:r>
      <w:r w:rsidRPr="00800D22">
        <w:rPr>
          <w:sz w:val="24"/>
        </w:rPr>
        <w:t>信用较差，</w:t>
      </w:r>
      <w:proofErr w:type="gramStart"/>
      <w:r w:rsidRPr="00800D22">
        <w:rPr>
          <w:sz w:val="24"/>
        </w:rPr>
        <w:t>授信方</w:t>
      </w:r>
      <w:proofErr w:type="gramEnd"/>
      <w:r w:rsidRPr="00800D22">
        <w:rPr>
          <w:sz w:val="24"/>
        </w:rPr>
        <w:t>A</w:t>
      </w:r>
      <w:r w:rsidRPr="00800D22">
        <w:rPr>
          <w:sz w:val="24"/>
        </w:rPr>
        <w:t>将不予授信，双方的收益</w:t>
      </w:r>
      <w:r w:rsidRPr="00800D22">
        <w:rPr>
          <w:sz w:val="24"/>
        </w:rPr>
        <w:lastRenderedPageBreak/>
        <w:t>为</w:t>
      </w:r>
      <w:r w:rsidRPr="00800D22">
        <w:rPr>
          <w:sz w:val="24"/>
        </w:rPr>
        <w:t>0</w:t>
      </w:r>
      <w:r w:rsidRPr="00800D22">
        <w:rPr>
          <w:sz w:val="24"/>
        </w:rPr>
        <w:t>交易终止；如果</w:t>
      </w:r>
      <w:proofErr w:type="gramStart"/>
      <w:r w:rsidRPr="00800D22">
        <w:rPr>
          <w:sz w:val="24"/>
        </w:rPr>
        <w:t>受信方</w:t>
      </w:r>
      <w:proofErr w:type="gramEnd"/>
      <w:r w:rsidRPr="00800D22">
        <w:rPr>
          <w:sz w:val="24"/>
        </w:rPr>
        <w:t>B</w:t>
      </w:r>
      <w:r w:rsidRPr="00800D22">
        <w:rPr>
          <w:sz w:val="24"/>
        </w:rPr>
        <w:t>信誉较好，</w:t>
      </w:r>
      <w:proofErr w:type="gramStart"/>
      <w:r w:rsidRPr="00800D22">
        <w:rPr>
          <w:sz w:val="24"/>
        </w:rPr>
        <w:t>授信方</w:t>
      </w:r>
      <w:proofErr w:type="gramEnd"/>
      <w:r w:rsidRPr="00800D22">
        <w:rPr>
          <w:sz w:val="24"/>
        </w:rPr>
        <w:t>A</w:t>
      </w:r>
      <w:r w:rsidRPr="00800D22">
        <w:rPr>
          <w:sz w:val="24"/>
        </w:rPr>
        <w:t>将选择授信，而</w:t>
      </w:r>
      <w:proofErr w:type="gramStart"/>
      <w:r w:rsidRPr="00800D22">
        <w:rPr>
          <w:sz w:val="24"/>
        </w:rPr>
        <w:t>受信方</w:t>
      </w:r>
      <w:proofErr w:type="gramEnd"/>
      <w:r w:rsidRPr="00800D22">
        <w:rPr>
          <w:sz w:val="24"/>
        </w:rPr>
        <w:t>B</w:t>
      </w:r>
      <w:r w:rsidRPr="00800D22">
        <w:rPr>
          <w:sz w:val="24"/>
        </w:rPr>
        <w:t>在得到授信后博弈有两种选择</w:t>
      </w:r>
      <w:r w:rsidRPr="00800D22">
        <w:rPr>
          <w:sz w:val="24"/>
        </w:rPr>
        <w:t>——</w:t>
      </w:r>
      <w:r w:rsidRPr="00800D22">
        <w:rPr>
          <w:sz w:val="24"/>
        </w:rPr>
        <w:t>守约和违约。如果守约，即继续保持较好的信誉，双方的收益均为</w:t>
      </w:r>
      <w:r w:rsidRPr="00800D22">
        <w:rPr>
          <w:sz w:val="24"/>
        </w:rPr>
        <w:t>5</w:t>
      </w:r>
      <w:r w:rsidRPr="00800D22">
        <w:rPr>
          <w:sz w:val="24"/>
        </w:rPr>
        <w:t>；</w:t>
      </w:r>
      <w:r w:rsidRPr="00800D22">
        <w:rPr>
          <w:sz w:val="24"/>
        </w:rPr>
        <w:t>B</w:t>
      </w:r>
      <w:r w:rsidRPr="00800D22">
        <w:rPr>
          <w:sz w:val="24"/>
        </w:rPr>
        <w:t>如果违约，将失去良好的信誉，但可以获得</w:t>
      </w:r>
      <w:r w:rsidRPr="00800D22">
        <w:rPr>
          <w:sz w:val="24"/>
        </w:rPr>
        <w:t>8</w:t>
      </w:r>
      <w:r w:rsidRPr="00800D22">
        <w:rPr>
          <w:sz w:val="24"/>
        </w:rPr>
        <w:t>单位的眼前收益，此时</w:t>
      </w:r>
      <w:r w:rsidRPr="00800D22">
        <w:rPr>
          <w:sz w:val="24"/>
        </w:rPr>
        <w:t>A</w:t>
      </w:r>
      <w:r w:rsidRPr="00800D22">
        <w:rPr>
          <w:sz w:val="24"/>
        </w:rPr>
        <w:t>的收益为</w:t>
      </w:r>
      <w:r w:rsidRPr="00800D22">
        <w:rPr>
          <w:sz w:val="24"/>
        </w:rPr>
        <w:t>-4</w:t>
      </w:r>
      <w:r w:rsidRPr="00800D22">
        <w:rPr>
          <w:sz w:val="24"/>
        </w:rPr>
        <w:t>，而</w:t>
      </w:r>
      <w:r w:rsidRPr="00800D22">
        <w:rPr>
          <w:sz w:val="24"/>
        </w:rPr>
        <w:t>B</w:t>
      </w:r>
      <w:r w:rsidRPr="00800D22">
        <w:rPr>
          <w:sz w:val="24"/>
        </w:rPr>
        <w:t>的收益取决于眼前收益与良好信誉贴现值。如果从短期来看，即只考虑一次博弈，此时良好信誉的贴现值为</w:t>
      </w:r>
      <w:r w:rsidRPr="00800D22">
        <w:rPr>
          <w:sz w:val="24"/>
        </w:rPr>
        <w:t>0</w:t>
      </w:r>
      <w:r w:rsidRPr="00800D22">
        <w:rPr>
          <w:sz w:val="24"/>
        </w:rPr>
        <w:t>，</w:t>
      </w:r>
      <w:proofErr w:type="gramStart"/>
      <w:r w:rsidRPr="00800D22">
        <w:rPr>
          <w:sz w:val="24"/>
        </w:rPr>
        <w:t>受信方</w:t>
      </w:r>
      <w:proofErr w:type="gramEnd"/>
      <w:r w:rsidRPr="00800D22">
        <w:rPr>
          <w:sz w:val="24"/>
        </w:rPr>
        <w:t>B</w:t>
      </w:r>
      <w:r w:rsidRPr="00800D22">
        <w:rPr>
          <w:sz w:val="24"/>
        </w:rPr>
        <w:t>将违约作为自己的最优选择，而</w:t>
      </w:r>
      <w:proofErr w:type="gramStart"/>
      <w:r w:rsidRPr="00800D22">
        <w:rPr>
          <w:sz w:val="24"/>
        </w:rPr>
        <w:t>授信方的</w:t>
      </w:r>
      <w:proofErr w:type="gramEnd"/>
      <w:r w:rsidRPr="00800D22">
        <w:rPr>
          <w:sz w:val="24"/>
        </w:rPr>
        <w:t>最优选择是不授信，形成了该博弈的唯一纳什均衡（不授信，违约），即（</w:t>
      </w:r>
      <w:r w:rsidRPr="00800D22">
        <w:rPr>
          <w:sz w:val="24"/>
        </w:rPr>
        <w:t>0</w:t>
      </w:r>
      <w:r w:rsidRPr="00800D22">
        <w:rPr>
          <w:sz w:val="24"/>
        </w:rPr>
        <w:t>，</w:t>
      </w:r>
      <w:r w:rsidRPr="00800D22">
        <w:rPr>
          <w:sz w:val="24"/>
        </w:rPr>
        <w:t>0</w:t>
      </w:r>
      <w:r w:rsidRPr="00800D22">
        <w:rPr>
          <w:sz w:val="24"/>
        </w:rPr>
        <w:t>），双方不能达成一致，交易中断，又回到了初始博弈的分析结果（见</w:t>
      </w:r>
      <w:r w:rsidRPr="00800D22">
        <w:rPr>
          <w:rFonts w:hint="eastAsia"/>
          <w:sz w:val="24"/>
        </w:rPr>
        <w:t>表</w:t>
      </w:r>
      <w:r w:rsidRPr="00800D22">
        <w:rPr>
          <w:sz w:val="24"/>
        </w:rPr>
        <w:t>2.2</w:t>
      </w:r>
      <w:r w:rsidRPr="00800D22">
        <w:rPr>
          <w:sz w:val="24"/>
        </w:rPr>
        <w:t>）。如果从长期来看，即考虑无限次重复博弈，此时</w:t>
      </w:r>
      <w:proofErr w:type="gramStart"/>
      <w:r w:rsidRPr="00800D22">
        <w:rPr>
          <w:sz w:val="24"/>
        </w:rPr>
        <w:t>受信方可以</w:t>
      </w:r>
      <w:proofErr w:type="gramEnd"/>
      <w:r w:rsidRPr="00800D22">
        <w:rPr>
          <w:sz w:val="24"/>
        </w:rPr>
        <w:t>从不断重复的博弈中获得收益，这些收益的贴现值可视为守信的机会成本，故信誉贴现值应为大于</w:t>
      </w:r>
      <w:r w:rsidRPr="00800D22">
        <w:rPr>
          <w:sz w:val="24"/>
        </w:rPr>
        <w:t>0</w:t>
      </w:r>
      <w:r w:rsidRPr="00800D22">
        <w:rPr>
          <w:sz w:val="24"/>
        </w:rPr>
        <w:t>的一个值。当信誉贴现值大于</w:t>
      </w:r>
      <w:r w:rsidRPr="00800D22">
        <w:rPr>
          <w:sz w:val="24"/>
        </w:rPr>
        <w:t>8</w:t>
      </w:r>
      <w:r w:rsidRPr="00800D22">
        <w:rPr>
          <w:sz w:val="24"/>
        </w:rPr>
        <w:t>时，</w:t>
      </w:r>
      <w:proofErr w:type="gramStart"/>
      <w:r w:rsidRPr="00800D22">
        <w:rPr>
          <w:sz w:val="24"/>
        </w:rPr>
        <w:t>受信方的</w:t>
      </w:r>
      <w:proofErr w:type="gramEnd"/>
      <w:r w:rsidRPr="00800D22">
        <w:rPr>
          <w:sz w:val="24"/>
        </w:rPr>
        <w:t>最优选择是守信，而</w:t>
      </w:r>
      <w:proofErr w:type="gramStart"/>
      <w:r w:rsidRPr="00800D22">
        <w:rPr>
          <w:sz w:val="24"/>
        </w:rPr>
        <w:t>授信方的</w:t>
      </w:r>
      <w:proofErr w:type="gramEnd"/>
      <w:r w:rsidRPr="00800D22">
        <w:rPr>
          <w:sz w:val="24"/>
        </w:rPr>
        <w:t>最优选择是授信，形成了该博弈的唯一纳什均衡（授信，守信）。该博弈过程达到了双赢结果，实现了信用交易的有序进行。</w:t>
      </w:r>
    </w:p>
    <w:p w14:paraId="659AC551" w14:textId="77777777" w:rsidR="009B11DE" w:rsidRPr="00800D22" w:rsidRDefault="009B11DE" w:rsidP="009B11DE">
      <w:pPr>
        <w:spacing w:line="440" w:lineRule="exact"/>
        <w:ind w:firstLineChars="200" w:firstLine="480"/>
        <w:rPr>
          <w:sz w:val="24"/>
        </w:rPr>
      </w:pPr>
      <w:r w:rsidRPr="00800D22">
        <w:rPr>
          <w:sz w:val="24"/>
        </w:rPr>
        <w:t>进一步考察，如果博弈双方均有追求长期合作或长期利益，信用机制将会改变博弈结果。假定在每一次博弈结束之前双方都预期到将有</w:t>
      </w:r>
      <w:r w:rsidRPr="00800D22">
        <w:rPr>
          <w:sz w:val="24"/>
        </w:rPr>
        <w:t>p</w:t>
      </w:r>
      <w:r w:rsidRPr="00800D22">
        <w:rPr>
          <w:sz w:val="24"/>
        </w:rPr>
        <w:t>的概率进入下一次交易，且每次博弈都有相同的结构。那么双方会重新选择博弈策略。</w:t>
      </w:r>
      <w:proofErr w:type="gramStart"/>
      <w:r w:rsidRPr="00800D22">
        <w:rPr>
          <w:sz w:val="24"/>
        </w:rPr>
        <w:t>授信方</w:t>
      </w:r>
      <w:proofErr w:type="gramEnd"/>
      <w:r w:rsidRPr="00800D22">
        <w:rPr>
          <w:sz w:val="24"/>
        </w:rPr>
        <w:t>A</w:t>
      </w:r>
      <w:r w:rsidRPr="00800D22">
        <w:rPr>
          <w:sz w:val="24"/>
        </w:rPr>
        <w:t>做出理性预期，它选择</w:t>
      </w:r>
      <w:proofErr w:type="gramStart"/>
      <w:r w:rsidRPr="00800D22">
        <w:rPr>
          <w:sz w:val="24"/>
        </w:rPr>
        <w:t>信任受信方</w:t>
      </w:r>
      <w:proofErr w:type="gramEnd"/>
      <w:r w:rsidRPr="00800D22">
        <w:rPr>
          <w:sz w:val="24"/>
        </w:rPr>
        <w:t>B</w:t>
      </w:r>
      <w:r w:rsidRPr="00800D22">
        <w:rPr>
          <w:sz w:val="24"/>
        </w:rPr>
        <w:t>，如果</w:t>
      </w:r>
      <w:r w:rsidRPr="00800D22">
        <w:rPr>
          <w:sz w:val="24"/>
        </w:rPr>
        <w:t>B</w:t>
      </w:r>
      <w:r w:rsidRPr="00800D22">
        <w:rPr>
          <w:sz w:val="24"/>
        </w:rPr>
        <w:t>守信，则双方的合作将会延续下去，每次合作的结果均为（</w:t>
      </w:r>
      <w:r w:rsidRPr="00800D22">
        <w:rPr>
          <w:sz w:val="24"/>
        </w:rPr>
        <w:t>5</w:t>
      </w:r>
      <w:r w:rsidRPr="00800D22">
        <w:rPr>
          <w:sz w:val="24"/>
        </w:rPr>
        <w:t>，</w:t>
      </w:r>
      <w:r w:rsidRPr="00800D22">
        <w:rPr>
          <w:sz w:val="24"/>
        </w:rPr>
        <w:t>5</w:t>
      </w:r>
      <w:r w:rsidRPr="00800D22">
        <w:rPr>
          <w:sz w:val="24"/>
        </w:rPr>
        <w:t>），达到双赢的；但如果</w:t>
      </w:r>
      <w:r w:rsidRPr="00800D22">
        <w:rPr>
          <w:sz w:val="24"/>
        </w:rPr>
        <w:t>B</w:t>
      </w:r>
      <w:r w:rsidRPr="00800D22">
        <w:rPr>
          <w:sz w:val="24"/>
        </w:rPr>
        <w:t>违约，则</w:t>
      </w:r>
      <w:r w:rsidRPr="00800D22">
        <w:rPr>
          <w:sz w:val="24"/>
        </w:rPr>
        <w:t>A</w:t>
      </w:r>
      <w:r w:rsidRPr="00800D22">
        <w:rPr>
          <w:sz w:val="24"/>
        </w:rPr>
        <w:t>决定永远不再与其合作。在给定</w:t>
      </w:r>
      <w:r w:rsidRPr="00800D22">
        <w:rPr>
          <w:sz w:val="24"/>
        </w:rPr>
        <w:t>A</w:t>
      </w:r>
      <w:r w:rsidRPr="00800D22">
        <w:rPr>
          <w:sz w:val="24"/>
        </w:rPr>
        <w:t>信任</w:t>
      </w:r>
      <w:r w:rsidRPr="00800D22">
        <w:rPr>
          <w:sz w:val="24"/>
        </w:rPr>
        <w:t>B</w:t>
      </w:r>
      <w:r w:rsidRPr="00800D22">
        <w:rPr>
          <w:sz w:val="24"/>
        </w:rPr>
        <w:t>的情况下，</w:t>
      </w:r>
      <w:r w:rsidRPr="00800D22">
        <w:rPr>
          <w:sz w:val="24"/>
        </w:rPr>
        <w:t>B</w:t>
      </w:r>
      <w:r w:rsidRPr="00800D22">
        <w:rPr>
          <w:sz w:val="24"/>
        </w:rPr>
        <w:t>也会做出理性预期，如果它选择违约，则其可获得当期收益</w:t>
      </w:r>
      <w:r w:rsidRPr="00800D22">
        <w:rPr>
          <w:sz w:val="24"/>
        </w:rPr>
        <w:t>15</w:t>
      </w:r>
      <w:r w:rsidRPr="00800D22">
        <w:rPr>
          <w:sz w:val="24"/>
        </w:rPr>
        <w:t>，但以后将不会再有机会与</w:t>
      </w:r>
      <w:r w:rsidRPr="00800D22">
        <w:rPr>
          <w:sz w:val="24"/>
        </w:rPr>
        <w:t>A</w:t>
      </w:r>
      <w:r w:rsidRPr="00800D22">
        <w:rPr>
          <w:sz w:val="24"/>
        </w:rPr>
        <w:t>合作，未来收益为</w:t>
      </w:r>
      <w:r w:rsidRPr="00800D22">
        <w:rPr>
          <w:sz w:val="24"/>
        </w:rPr>
        <w:t>0</w:t>
      </w:r>
      <w:r w:rsidRPr="00800D22">
        <w:rPr>
          <w:sz w:val="24"/>
        </w:rPr>
        <w:t>，从而总期望收益仍为</w:t>
      </w:r>
      <w:r w:rsidRPr="00800D22">
        <w:rPr>
          <w:sz w:val="24"/>
        </w:rPr>
        <w:t>8.</w:t>
      </w:r>
      <w:r w:rsidRPr="00800D22">
        <w:rPr>
          <w:sz w:val="24"/>
        </w:rPr>
        <w:t>如果</w:t>
      </w:r>
      <w:r w:rsidRPr="00800D22">
        <w:rPr>
          <w:sz w:val="24"/>
        </w:rPr>
        <w:t>B</w:t>
      </w:r>
      <w:r w:rsidRPr="00800D22">
        <w:rPr>
          <w:sz w:val="24"/>
        </w:rPr>
        <w:t>选择守信，每次可得的收益均为</w:t>
      </w:r>
      <w:r w:rsidRPr="00800D22">
        <w:rPr>
          <w:sz w:val="24"/>
        </w:rPr>
        <w:t>5</w:t>
      </w:r>
      <w:r w:rsidRPr="00800D22">
        <w:rPr>
          <w:sz w:val="24"/>
        </w:rPr>
        <w:t>，而且可以与</w:t>
      </w:r>
      <w:r w:rsidRPr="00800D22">
        <w:rPr>
          <w:sz w:val="24"/>
        </w:rPr>
        <w:t>A</w:t>
      </w:r>
      <w:r w:rsidRPr="00800D22">
        <w:rPr>
          <w:sz w:val="24"/>
        </w:rPr>
        <w:t>简历长期稳定的合作关系，在持续性交易中，守信选择必然带来比一次性违约所得更大的收益，随着交易次数的增加，预期总收益也不断增加，交易者也会随之偏好守信，如此良性循环，守信者可得到的总期望收益为：</w:t>
      </w:r>
      <w:r w:rsidRPr="00800D22">
        <w:rPr>
          <w:sz w:val="24"/>
        </w:rPr>
        <w:t>5+5p+5p^2+5p^3+… …=5/(1-</w:t>
      </w:r>
      <w:proofErr w:type="gramStart"/>
      <w:r w:rsidRPr="00800D22">
        <w:rPr>
          <w:sz w:val="24"/>
        </w:rPr>
        <w:t>p)</w:t>
      </w:r>
      <w:r w:rsidRPr="00800D22">
        <w:rPr>
          <w:sz w:val="24"/>
        </w:rPr>
        <w:t>。</w:t>
      </w:r>
      <w:proofErr w:type="gramEnd"/>
      <w:r w:rsidRPr="00800D22">
        <w:rPr>
          <w:sz w:val="24"/>
        </w:rPr>
        <w:t>所以，只要</w:t>
      </w:r>
      <w:r w:rsidRPr="00800D22">
        <w:rPr>
          <w:sz w:val="24"/>
        </w:rPr>
        <w:t>5/(1-</w:t>
      </w:r>
      <w:proofErr w:type="gramStart"/>
      <w:r w:rsidRPr="00800D22">
        <w:rPr>
          <w:sz w:val="24"/>
        </w:rPr>
        <w:t>p)</w:t>
      </w:r>
      <w:r w:rsidRPr="00800D22">
        <w:rPr>
          <w:rFonts w:ascii="宋体" w:hAnsi="宋体" w:cs="宋体" w:hint="eastAsia"/>
          <w:sz w:val="24"/>
        </w:rPr>
        <w:t>≧</w:t>
      </w:r>
      <w:proofErr w:type="gramEnd"/>
      <w:r w:rsidRPr="00800D22">
        <w:rPr>
          <w:sz w:val="24"/>
        </w:rPr>
        <w:t>8</w:t>
      </w:r>
      <w:r w:rsidRPr="00800D22">
        <w:rPr>
          <w:sz w:val="24"/>
        </w:rPr>
        <w:t>，即</w:t>
      </w:r>
      <w:r w:rsidRPr="00800D22">
        <w:rPr>
          <w:sz w:val="24"/>
        </w:rPr>
        <w:t>p</w:t>
      </w:r>
      <w:r w:rsidRPr="00800D22">
        <w:rPr>
          <w:rFonts w:ascii="宋体" w:hAnsi="宋体" w:cs="宋体" w:hint="eastAsia"/>
          <w:sz w:val="24"/>
        </w:rPr>
        <w:t>≧</w:t>
      </w:r>
      <w:r w:rsidRPr="00800D22">
        <w:rPr>
          <w:sz w:val="24"/>
        </w:rPr>
        <w:t>4/9</w:t>
      </w:r>
      <w:r w:rsidRPr="00800D22">
        <w:rPr>
          <w:sz w:val="24"/>
        </w:rPr>
        <w:t>，双方都会有讲信誉的动力来维护长期合作，以获得更多的利益。</w:t>
      </w:r>
    </w:p>
    <w:p w14:paraId="7D90B1ED" w14:textId="77777777" w:rsidR="009B11DE" w:rsidRPr="00800D22" w:rsidRDefault="009B11DE" w:rsidP="009B11DE">
      <w:pPr>
        <w:spacing w:line="440" w:lineRule="exact"/>
        <w:ind w:firstLineChars="200" w:firstLine="480"/>
        <w:rPr>
          <w:sz w:val="24"/>
        </w:rPr>
      </w:pPr>
      <w:r w:rsidRPr="00800D22">
        <w:rPr>
          <w:sz w:val="24"/>
        </w:rPr>
        <w:t>综合完全信息条件下静态博弈模型和动态博弈模型的分析，可以得到以下命题：经济主体双方只有通过重复博弈才能建立起长期的信用关系，从而形成良好的信用机制，才有可能在信用市场中剔除（守信，违约）、（违约，违约）、（欺骗，欺骗）等不稳定均衡，即消除违约、欺诈行为，否则，如果信用双方的博弈是一次性的，企业的违约行为就会始终存在。同时，还可以推断：在完全信息条件下，信用市场中信用良好者将会被市场留住，而失信者将会被市场驱逐。然而，在现</w:t>
      </w:r>
      <w:r w:rsidRPr="00800D22">
        <w:rPr>
          <w:sz w:val="24"/>
        </w:rPr>
        <w:lastRenderedPageBreak/>
        <w:t>实的信用市场中，往往是信誉好的企业与信誉差的企业并存。显然，完全信息假设条件的命题与现实经济生活存在着很大差距。由于不确定性因素的大量存在，经济交易中信用双方的信息总是不对称的，这就需要建立不完全信息条件下的动态博弈模型来进行分析。</w:t>
      </w:r>
    </w:p>
    <w:p w14:paraId="3306DAD1" w14:textId="77777777" w:rsidR="009B11DE" w:rsidRPr="00800D22" w:rsidRDefault="009B11DE" w:rsidP="009B11DE">
      <w:pPr>
        <w:spacing w:line="440" w:lineRule="exact"/>
        <w:ind w:firstLineChars="200" w:firstLine="480"/>
        <w:rPr>
          <w:sz w:val="24"/>
        </w:rPr>
      </w:pPr>
      <w:r w:rsidRPr="00800D22">
        <w:rPr>
          <w:rFonts w:ascii="宋体" w:hAnsi="宋体" w:cs="宋体" w:hint="eastAsia"/>
          <w:sz w:val="24"/>
        </w:rPr>
        <w:t>②</w:t>
      </w:r>
      <w:r w:rsidRPr="00800D22">
        <w:rPr>
          <w:sz w:val="24"/>
        </w:rPr>
        <w:t>不完全信息条件下的博弈分析</w:t>
      </w:r>
      <w:r w:rsidRPr="00800D22">
        <w:rPr>
          <w:rStyle w:val="af4"/>
          <w:sz w:val="24"/>
        </w:rPr>
        <w:footnoteReference w:id="4"/>
      </w:r>
    </w:p>
    <w:p w14:paraId="2905585F" w14:textId="77777777" w:rsidR="009B11DE" w:rsidRPr="00800D22" w:rsidRDefault="009B11DE" w:rsidP="009B11DE">
      <w:pPr>
        <w:spacing w:line="440" w:lineRule="exact"/>
        <w:ind w:firstLineChars="200" w:firstLine="480"/>
        <w:rPr>
          <w:sz w:val="24"/>
        </w:rPr>
      </w:pPr>
      <w:r w:rsidRPr="00800D22">
        <w:rPr>
          <w:sz w:val="24"/>
        </w:rPr>
        <w:t>假定信用市场中信用双方的信息是不对称的，</w:t>
      </w:r>
      <w:proofErr w:type="gramStart"/>
      <w:r w:rsidRPr="00800D22">
        <w:rPr>
          <w:sz w:val="24"/>
        </w:rPr>
        <w:t>受信方对</w:t>
      </w:r>
      <w:proofErr w:type="gramEnd"/>
      <w:r w:rsidRPr="00800D22">
        <w:rPr>
          <w:sz w:val="24"/>
        </w:rPr>
        <w:t>自己的还款能力和还款意愿比较清楚，具有这方面的信息优势，</w:t>
      </w:r>
      <w:proofErr w:type="gramStart"/>
      <w:r w:rsidRPr="00800D22">
        <w:rPr>
          <w:sz w:val="24"/>
        </w:rPr>
        <w:t>但授信方并不</w:t>
      </w:r>
      <w:proofErr w:type="gramEnd"/>
      <w:r w:rsidRPr="00800D22">
        <w:rPr>
          <w:sz w:val="24"/>
        </w:rPr>
        <w:t>能准确掌握这些信息，只能根据</w:t>
      </w:r>
      <w:proofErr w:type="gramStart"/>
      <w:r w:rsidRPr="00800D22">
        <w:rPr>
          <w:sz w:val="24"/>
        </w:rPr>
        <w:t>受信方以往</w:t>
      </w:r>
      <w:proofErr w:type="gramEnd"/>
      <w:r w:rsidRPr="00800D22">
        <w:rPr>
          <w:sz w:val="24"/>
        </w:rPr>
        <w:t>的信用记录和信誉状况对</w:t>
      </w:r>
      <w:proofErr w:type="gramStart"/>
      <w:r w:rsidRPr="00800D22">
        <w:rPr>
          <w:sz w:val="24"/>
        </w:rPr>
        <w:t>受信方的</w:t>
      </w:r>
      <w:proofErr w:type="gramEnd"/>
      <w:r w:rsidRPr="00800D22">
        <w:rPr>
          <w:sz w:val="24"/>
        </w:rPr>
        <w:t>守信和违约概率做出判断。</w:t>
      </w:r>
      <w:proofErr w:type="gramStart"/>
      <w:r w:rsidRPr="00800D22">
        <w:rPr>
          <w:sz w:val="24"/>
        </w:rPr>
        <w:t>假定受</w:t>
      </w:r>
      <w:proofErr w:type="gramEnd"/>
      <w:r w:rsidRPr="00800D22">
        <w:rPr>
          <w:sz w:val="24"/>
        </w:rPr>
        <w:t>信方式只能有两种可能的类型：信誉好的企业和信誉差的企业。前者违约率较低，后者违约率较高。</w:t>
      </w:r>
      <w:proofErr w:type="gramStart"/>
      <w:r w:rsidRPr="00800D22">
        <w:rPr>
          <w:sz w:val="24"/>
        </w:rPr>
        <w:t>授信方不知道受信方的</w:t>
      </w:r>
      <w:proofErr w:type="gramEnd"/>
      <w:r w:rsidRPr="00800D22">
        <w:rPr>
          <w:sz w:val="24"/>
        </w:rPr>
        <w:t>确切类型，只知道它属于信誉</w:t>
      </w:r>
      <w:proofErr w:type="gramStart"/>
      <w:r w:rsidRPr="00800D22">
        <w:rPr>
          <w:sz w:val="24"/>
        </w:rPr>
        <w:t>好类型</w:t>
      </w:r>
      <w:proofErr w:type="gramEnd"/>
      <w:r w:rsidRPr="00800D22">
        <w:rPr>
          <w:sz w:val="24"/>
        </w:rPr>
        <w:t>的概率为</w:t>
      </w:r>
      <w:r w:rsidRPr="00800D22">
        <w:rPr>
          <w:sz w:val="24"/>
        </w:rPr>
        <w:t>p</w:t>
      </w:r>
      <w:r w:rsidRPr="00800D22">
        <w:rPr>
          <w:sz w:val="24"/>
        </w:rPr>
        <w:t>，属于信誉</w:t>
      </w:r>
      <w:proofErr w:type="gramStart"/>
      <w:r w:rsidRPr="00800D22">
        <w:rPr>
          <w:sz w:val="24"/>
        </w:rPr>
        <w:t>差类型</w:t>
      </w:r>
      <w:proofErr w:type="gramEnd"/>
      <w:r w:rsidRPr="00800D22">
        <w:rPr>
          <w:sz w:val="24"/>
        </w:rPr>
        <w:t>的概率为</w:t>
      </w:r>
      <w:r w:rsidRPr="00800D22">
        <w:rPr>
          <w:sz w:val="24"/>
        </w:rPr>
        <w:t>1-p</w:t>
      </w:r>
      <w:r w:rsidRPr="00800D22">
        <w:rPr>
          <w:sz w:val="24"/>
        </w:rPr>
        <w:t>。先分两种情形讨论：第一，如果</w:t>
      </w:r>
      <w:proofErr w:type="gramStart"/>
      <w:r w:rsidRPr="00800D22">
        <w:rPr>
          <w:sz w:val="24"/>
        </w:rPr>
        <w:t>受信方属于</w:t>
      </w:r>
      <w:proofErr w:type="gramEnd"/>
      <w:r w:rsidRPr="00800D22">
        <w:rPr>
          <w:sz w:val="24"/>
        </w:rPr>
        <w:t>信誉好的企业，当它守信时，正如前述所分析的那样，</w:t>
      </w:r>
      <w:proofErr w:type="gramStart"/>
      <w:r w:rsidRPr="00800D22">
        <w:rPr>
          <w:sz w:val="24"/>
        </w:rPr>
        <w:t>授信方和受信方的</w:t>
      </w:r>
      <w:proofErr w:type="gramEnd"/>
      <w:r w:rsidRPr="00800D22">
        <w:rPr>
          <w:sz w:val="24"/>
        </w:rPr>
        <w:t>收益各为</w:t>
      </w:r>
      <w:r w:rsidRPr="00800D22">
        <w:rPr>
          <w:sz w:val="24"/>
        </w:rPr>
        <w:t>5</w:t>
      </w:r>
      <w:r w:rsidRPr="00800D22">
        <w:rPr>
          <w:sz w:val="24"/>
        </w:rPr>
        <w:t>；当</w:t>
      </w:r>
      <w:proofErr w:type="gramStart"/>
      <w:r w:rsidRPr="00800D22">
        <w:rPr>
          <w:sz w:val="24"/>
        </w:rPr>
        <w:t>受信方违约</w:t>
      </w:r>
      <w:proofErr w:type="gramEnd"/>
      <w:r w:rsidRPr="00800D22">
        <w:rPr>
          <w:sz w:val="24"/>
        </w:rPr>
        <w:t>时，</w:t>
      </w:r>
      <w:proofErr w:type="gramStart"/>
      <w:r w:rsidRPr="00800D22">
        <w:rPr>
          <w:sz w:val="24"/>
        </w:rPr>
        <w:t>授信方的</w:t>
      </w:r>
      <w:proofErr w:type="gramEnd"/>
      <w:r w:rsidRPr="00800D22">
        <w:rPr>
          <w:sz w:val="24"/>
        </w:rPr>
        <w:t>收益为</w:t>
      </w:r>
      <w:r w:rsidRPr="00800D22">
        <w:rPr>
          <w:sz w:val="24"/>
        </w:rPr>
        <w:t>-10</w:t>
      </w:r>
      <w:r w:rsidRPr="00800D22">
        <w:rPr>
          <w:sz w:val="24"/>
        </w:rPr>
        <w:t>，</w:t>
      </w:r>
      <w:proofErr w:type="gramStart"/>
      <w:r w:rsidRPr="00800D22">
        <w:rPr>
          <w:sz w:val="24"/>
        </w:rPr>
        <w:t>受信方的</w:t>
      </w:r>
      <w:proofErr w:type="gramEnd"/>
      <w:r w:rsidRPr="00800D22">
        <w:rPr>
          <w:sz w:val="24"/>
        </w:rPr>
        <w:t>收益则为</w:t>
      </w:r>
      <w:r w:rsidRPr="00800D22">
        <w:rPr>
          <w:sz w:val="24"/>
        </w:rPr>
        <w:t>-5</w:t>
      </w:r>
      <w:r w:rsidRPr="00800D22">
        <w:rPr>
          <w:rFonts w:hint="eastAsia"/>
          <w:sz w:val="24"/>
        </w:rPr>
        <w:t>。</w:t>
      </w:r>
      <w:r w:rsidRPr="00800D22">
        <w:rPr>
          <w:sz w:val="24"/>
        </w:rPr>
        <w:t>第二，如果</w:t>
      </w:r>
      <w:proofErr w:type="gramStart"/>
      <w:r w:rsidRPr="00800D22">
        <w:rPr>
          <w:sz w:val="24"/>
        </w:rPr>
        <w:t>受信方属于</w:t>
      </w:r>
      <w:proofErr w:type="gramEnd"/>
      <w:r w:rsidRPr="00800D22">
        <w:rPr>
          <w:sz w:val="24"/>
        </w:rPr>
        <w:t>信誉较低的企业，它守信</w:t>
      </w:r>
      <w:proofErr w:type="gramStart"/>
      <w:r w:rsidRPr="00800D22">
        <w:rPr>
          <w:sz w:val="24"/>
        </w:rPr>
        <w:t>时授信方</w:t>
      </w:r>
      <w:proofErr w:type="gramEnd"/>
      <w:r w:rsidRPr="00800D22">
        <w:rPr>
          <w:sz w:val="24"/>
        </w:rPr>
        <w:t>的收益为</w:t>
      </w:r>
      <w:r w:rsidRPr="00800D22">
        <w:rPr>
          <w:sz w:val="24"/>
        </w:rPr>
        <w:t>5</w:t>
      </w:r>
      <w:r w:rsidRPr="00800D22">
        <w:rPr>
          <w:sz w:val="24"/>
        </w:rPr>
        <w:t>，</w:t>
      </w:r>
      <w:proofErr w:type="gramStart"/>
      <w:r w:rsidRPr="00800D22">
        <w:rPr>
          <w:sz w:val="24"/>
        </w:rPr>
        <w:t>受信方的</w:t>
      </w:r>
      <w:proofErr w:type="gramEnd"/>
      <w:r w:rsidRPr="00800D22">
        <w:rPr>
          <w:sz w:val="24"/>
        </w:rPr>
        <w:t>收益为</w:t>
      </w:r>
      <w:r w:rsidRPr="00800D22">
        <w:rPr>
          <w:sz w:val="24"/>
        </w:rPr>
        <w:t>-5</w:t>
      </w:r>
      <w:r w:rsidRPr="00800D22">
        <w:rPr>
          <w:sz w:val="24"/>
        </w:rPr>
        <w:t>；违约</w:t>
      </w:r>
      <w:proofErr w:type="gramStart"/>
      <w:r w:rsidRPr="00800D22">
        <w:rPr>
          <w:sz w:val="24"/>
        </w:rPr>
        <w:t>时授信方</w:t>
      </w:r>
      <w:proofErr w:type="gramEnd"/>
      <w:r w:rsidRPr="00800D22">
        <w:rPr>
          <w:sz w:val="24"/>
        </w:rPr>
        <w:t>的收益为</w:t>
      </w:r>
      <w:r w:rsidRPr="00800D22">
        <w:rPr>
          <w:sz w:val="24"/>
        </w:rPr>
        <w:t>-10</w:t>
      </w:r>
      <w:r w:rsidRPr="00800D22">
        <w:rPr>
          <w:sz w:val="24"/>
        </w:rPr>
        <w:t>，</w:t>
      </w:r>
      <w:proofErr w:type="gramStart"/>
      <w:r w:rsidRPr="00800D22">
        <w:rPr>
          <w:sz w:val="24"/>
        </w:rPr>
        <w:t>受信方的</w:t>
      </w:r>
      <w:proofErr w:type="gramEnd"/>
      <w:r w:rsidRPr="00800D22">
        <w:rPr>
          <w:sz w:val="24"/>
        </w:rPr>
        <w:t>收益为</w:t>
      </w:r>
      <w:r w:rsidRPr="00800D22">
        <w:rPr>
          <w:sz w:val="24"/>
        </w:rPr>
        <w:t>5</w:t>
      </w:r>
      <w:r w:rsidRPr="00800D22">
        <w:rPr>
          <w:sz w:val="24"/>
        </w:rPr>
        <w:t>。</w:t>
      </w:r>
      <w:r w:rsidRPr="00800D22">
        <w:rPr>
          <w:sz w:val="24"/>
        </w:rPr>
        <w:t xml:space="preserve"> </w:t>
      </w:r>
    </w:p>
    <w:p w14:paraId="4D1C0330" w14:textId="77777777" w:rsidR="009B11DE" w:rsidRPr="00800D22" w:rsidRDefault="009B11DE" w:rsidP="009B11DE">
      <w:pPr>
        <w:spacing w:line="440" w:lineRule="exact"/>
        <w:ind w:firstLineChars="200" w:firstLine="480"/>
        <w:rPr>
          <w:sz w:val="24"/>
        </w:rPr>
      </w:pPr>
      <w:r w:rsidRPr="00800D22">
        <w:rPr>
          <w:sz w:val="24"/>
        </w:rPr>
        <w:t>在这个博弈中，守信企业如果是信誉良好的企业，企业的最优选择是守约，好企业违约的情况被剔除；如果是信誉较差的企业，企业的最优选择为违约，则差企业守约的情况被剔除。这时，</w:t>
      </w:r>
      <w:proofErr w:type="gramStart"/>
      <w:r w:rsidRPr="00800D22">
        <w:rPr>
          <w:sz w:val="24"/>
        </w:rPr>
        <w:t>授信方的</w:t>
      </w:r>
      <w:proofErr w:type="gramEnd"/>
      <w:r w:rsidRPr="00800D22">
        <w:rPr>
          <w:sz w:val="24"/>
        </w:rPr>
        <w:t>期望收益为</w:t>
      </w:r>
      <w:r w:rsidRPr="00800D22">
        <w:rPr>
          <w:sz w:val="24"/>
        </w:rPr>
        <w:t>p*5+(l-p)*(-10)=15p-10</w:t>
      </w:r>
      <w:r w:rsidRPr="00800D22">
        <w:rPr>
          <w:sz w:val="24"/>
        </w:rPr>
        <w:t>。当</w:t>
      </w:r>
      <w:r w:rsidRPr="00800D22">
        <w:rPr>
          <w:sz w:val="24"/>
        </w:rPr>
        <w:t>15p-10</w:t>
      </w:r>
      <w:r w:rsidRPr="00800D22">
        <w:rPr>
          <w:sz w:val="24"/>
        </w:rPr>
        <w:t>＞</w:t>
      </w:r>
      <w:r w:rsidRPr="00800D22">
        <w:rPr>
          <w:sz w:val="24"/>
        </w:rPr>
        <w:t>0</w:t>
      </w:r>
      <w:r w:rsidRPr="00800D22">
        <w:rPr>
          <w:sz w:val="24"/>
        </w:rPr>
        <w:t>时，即</w:t>
      </w:r>
      <w:r w:rsidRPr="00800D22">
        <w:rPr>
          <w:sz w:val="24"/>
        </w:rPr>
        <w:t>p</w:t>
      </w:r>
      <w:r w:rsidRPr="00800D22">
        <w:rPr>
          <w:sz w:val="24"/>
        </w:rPr>
        <w:t>＞</w:t>
      </w:r>
      <w:r w:rsidRPr="00800D22">
        <w:rPr>
          <w:sz w:val="24"/>
        </w:rPr>
        <w:t>2/3</w:t>
      </w:r>
      <w:r w:rsidRPr="00800D22">
        <w:rPr>
          <w:sz w:val="24"/>
        </w:rPr>
        <w:t>，</w:t>
      </w:r>
      <w:proofErr w:type="gramStart"/>
      <w:r w:rsidRPr="00800D22">
        <w:rPr>
          <w:sz w:val="24"/>
        </w:rPr>
        <w:t>授信方的</w:t>
      </w:r>
      <w:proofErr w:type="gramEnd"/>
      <w:r w:rsidRPr="00800D22">
        <w:rPr>
          <w:sz w:val="24"/>
        </w:rPr>
        <w:t>最优选择为授信；当</w:t>
      </w:r>
      <w:r w:rsidRPr="00800D22">
        <w:rPr>
          <w:sz w:val="24"/>
        </w:rPr>
        <w:t>p</w:t>
      </w:r>
      <w:r w:rsidRPr="00800D22">
        <w:rPr>
          <w:sz w:val="24"/>
        </w:rPr>
        <w:t>＜</w:t>
      </w:r>
      <w:r w:rsidRPr="00800D22">
        <w:rPr>
          <w:sz w:val="24"/>
        </w:rPr>
        <w:t>2/3</w:t>
      </w:r>
      <w:r w:rsidRPr="00800D22">
        <w:rPr>
          <w:sz w:val="24"/>
        </w:rPr>
        <w:t>时，</w:t>
      </w:r>
      <w:proofErr w:type="gramStart"/>
      <w:r w:rsidRPr="00800D22">
        <w:rPr>
          <w:sz w:val="24"/>
        </w:rPr>
        <w:t>授信方的</w:t>
      </w:r>
      <w:proofErr w:type="gramEnd"/>
      <w:r w:rsidRPr="00800D22">
        <w:rPr>
          <w:sz w:val="24"/>
        </w:rPr>
        <w:t>最优选择为不授信；当</w:t>
      </w:r>
      <w:r w:rsidRPr="00800D22">
        <w:rPr>
          <w:sz w:val="24"/>
        </w:rPr>
        <w:t>p=2/3</w:t>
      </w:r>
      <w:r w:rsidRPr="00800D22">
        <w:rPr>
          <w:sz w:val="24"/>
        </w:rPr>
        <w:t>时，</w:t>
      </w:r>
      <w:proofErr w:type="gramStart"/>
      <w:r w:rsidRPr="00800D22">
        <w:rPr>
          <w:sz w:val="24"/>
        </w:rPr>
        <w:t>授信方选择</w:t>
      </w:r>
      <w:proofErr w:type="gramEnd"/>
      <w:r w:rsidRPr="00800D22">
        <w:rPr>
          <w:sz w:val="24"/>
        </w:rPr>
        <w:t>授信或不授信都是最优的。因此，该博弈存在三个精炼贝叶斯均衡：</w:t>
      </w:r>
    </w:p>
    <w:p w14:paraId="46B317A3" w14:textId="77777777" w:rsidR="009B11DE" w:rsidRPr="00800D22" w:rsidRDefault="009B11DE" w:rsidP="009B11DE">
      <w:pPr>
        <w:spacing w:line="440" w:lineRule="exact"/>
        <w:ind w:firstLineChars="200" w:firstLine="480"/>
        <w:rPr>
          <w:sz w:val="24"/>
        </w:rPr>
      </w:pPr>
      <w:r w:rsidRPr="00800D22">
        <w:rPr>
          <w:sz w:val="24"/>
        </w:rPr>
        <w:t>（</w:t>
      </w:r>
      <w:r w:rsidRPr="00800D22">
        <w:rPr>
          <w:sz w:val="24"/>
        </w:rPr>
        <w:t>a</w:t>
      </w:r>
      <w:r w:rsidRPr="00800D22">
        <w:rPr>
          <w:sz w:val="24"/>
        </w:rPr>
        <w:t>）当</w:t>
      </w:r>
      <w:r w:rsidRPr="00800D22">
        <w:rPr>
          <w:sz w:val="24"/>
        </w:rPr>
        <w:t>15p-10</w:t>
      </w:r>
      <w:r w:rsidRPr="00800D22">
        <w:rPr>
          <w:sz w:val="24"/>
        </w:rPr>
        <w:t>＜</w:t>
      </w:r>
      <w:r w:rsidRPr="00800D22">
        <w:rPr>
          <w:sz w:val="24"/>
        </w:rPr>
        <w:t>0</w:t>
      </w:r>
      <w:r w:rsidRPr="00800D22">
        <w:rPr>
          <w:sz w:val="24"/>
        </w:rPr>
        <w:t>，即</w:t>
      </w:r>
      <w:r w:rsidRPr="00800D22">
        <w:rPr>
          <w:sz w:val="24"/>
        </w:rPr>
        <w:t>p</w:t>
      </w:r>
      <w:r w:rsidRPr="00800D22">
        <w:rPr>
          <w:sz w:val="24"/>
        </w:rPr>
        <w:t>＜</w:t>
      </w:r>
      <w:r w:rsidRPr="00800D22">
        <w:rPr>
          <w:sz w:val="24"/>
        </w:rPr>
        <w:t>2/3</w:t>
      </w:r>
      <w:r w:rsidRPr="00800D22">
        <w:rPr>
          <w:sz w:val="24"/>
        </w:rPr>
        <w:t>时，</w:t>
      </w:r>
      <w:proofErr w:type="gramStart"/>
      <w:r w:rsidRPr="00800D22">
        <w:rPr>
          <w:sz w:val="24"/>
        </w:rPr>
        <w:t>授信方选择</w:t>
      </w:r>
      <w:proofErr w:type="gramEnd"/>
      <w:r w:rsidRPr="00800D22">
        <w:rPr>
          <w:sz w:val="24"/>
        </w:rPr>
        <w:t>不授信，（</w:t>
      </w:r>
      <w:r w:rsidRPr="00800D22">
        <w:rPr>
          <w:sz w:val="24"/>
        </w:rPr>
        <w:t>0</w:t>
      </w:r>
      <w:r w:rsidRPr="00800D22">
        <w:rPr>
          <w:sz w:val="24"/>
        </w:rPr>
        <w:t>，</w:t>
      </w:r>
      <w:r w:rsidRPr="00800D22">
        <w:rPr>
          <w:sz w:val="24"/>
        </w:rPr>
        <w:t>0</w:t>
      </w:r>
      <w:r w:rsidRPr="00800D22">
        <w:rPr>
          <w:sz w:val="24"/>
        </w:rPr>
        <w:t>）为稳定的贝叶斯均衡解。</w:t>
      </w:r>
    </w:p>
    <w:p w14:paraId="5F9EA1D4" w14:textId="77777777" w:rsidR="009B11DE" w:rsidRPr="00800D22" w:rsidRDefault="009B11DE" w:rsidP="009B11DE">
      <w:pPr>
        <w:spacing w:line="440" w:lineRule="exact"/>
        <w:ind w:firstLineChars="200" w:firstLine="480"/>
        <w:rPr>
          <w:sz w:val="24"/>
        </w:rPr>
      </w:pPr>
      <w:r w:rsidRPr="00800D22">
        <w:rPr>
          <w:sz w:val="24"/>
        </w:rPr>
        <w:t>（</w:t>
      </w:r>
      <w:r w:rsidRPr="00800D22">
        <w:rPr>
          <w:sz w:val="24"/>
        </w:rPr>
        <w:t>b</w:t>
      </w:r>
      <w:r w:rsidRPr="00800D22">
        <w:rPr>
          <w:sz w:val="24"/>
        </w:rPr>
        <w:t>）当</w:t>
      </w:r>
      <w:r w:rsidRPr="00800D22">
        <w:rPr>
          <w:sz w:val="24"/>
        </w:rPr>
        <w:t>15p-10</w:t>
      </w:r>
      <w:r w:rsidRPr="00800D22">
        <w:rPr>
          <w:sz w:val="24"/>
        </w:rPr>
        <w:t>＞</w:t>
      </w:r>
      <w:r w:rsidRPr="00800D22">
        <w:rPr>
          <w:sz w:val="24"/>
        </w:rPr>
        <w:t>0</w:t>
      </w:r>
      <w:r w:rsidRPr="00800D22">
        <w:rPr>
          <w:sz w:val="24"/>
        </w:rPr>
        <w:t>，即</w:t>
      </w:r>
      <w:r w:rsidRPr="00800D22">
        <w:rPr>
          <w:sz w:val="24"/>
        </w:rPr>
        <w:t>p</w:t>
      </w:r>
      <w:r w:rsidRPr="00800D22">
        <w:rPr>
          <w:sz w:val="24"/>
        </w:rPr>
        <w:t>＞</w:t>
      </w:r>
      <w:r w:rsidRPr="00800D22">
        <w:rPr>
          <w:sz w:val="24"/>
        </w:rPr>
        <w:t>2/3</w:t>
      </w:r>
      <w:r w:rsidRPr="00800D22">
        <w:rPr>
          <w:sz w:val="24"/>
        </w:rPr>
        <w:t>时，（授信，守约）和（授信，不守约）两种均衡同时存在。如果企业的守信收益大于违约收益时，为前一种均衡，均衡解为（</w:t>
      </w:r>
      <w:r w:rsidRPr="00800D22">
        <w:rPr>
          <w:sz w:val="24"/>
        </w:rPr>
        <w:t>5</w:t>
      </w:r>
      <w:r w:rsidRPr="00800D22">
        <w:rPr>
          <w:sz w:val="24"/>
        </w:rPr>
        <w:t>，</w:t>
      </w:r>
      <w:r w:rsidRPr="00800D22">
        <w:rPr>
          <w:sz w:val="24"/>
        </w:rPr>
        <w:t>5</w:t>
      </w:r>
      <w:r w:rsidRPr="00800D22">
        <w:rPr>
          <w:sz w:val="24"/>
        </w:rPr>
        <w:t>）；如果守信收益小于违约收益时，为后一种均衡，均衡解为（</w:t>
      </w:r>
      <w:r w:rsidRPr="00800D22">
        <w:rPr>
          <w:sz w:val="24"/>
        </w:rPr>
        <w:t>-10</w:t>
      </w:r>
      <w:r w:rsidRPr="00800D22">
        <w:rPr>
          <w:sz w:val="24"/>
        </w:rPr>
        <w:t>，</w:t>
      </w:r>
      <w:r w:rsidRPr="00800D22">
        <w:rPr>
          <w:sz w:val="24"/>
        </w:rPr>
        <w:t>5</w:t>
      </w:r>
      <w:r w:rsidRPr="00800D22">
        <w:rPr>
          <w:sz w:val="24"/>
        </w:rPr>
        <w:t>）。</w:t>
      </w:r>
    </w:p>
    <w:p w14:paraId="63B32525" w14:textId="77777777" w:rsidR="009B11DE" w:rsidRPr="00800D22" w:rsidRDefault="009B11DE" w:rsidP="009B11DE">
      <w:pPr>
        <w:spacing w:line="440" w:lineRule="exact"/>
        <w:ind w:firstLineChars="200" w:firstLine="480"/>
        <w:rPr>
          <w:sz w:val="24"/>
        </w:rPr>
      </w:pPr>
      <w:r w:rsidRPr="00800D22">
        <w:rPr>
          <w:sz w:val="24"/>
        </w:rPr>
        <w:t>（</w:t>
      </w:r>
      <w:r w:rsidRPr="00800D22">
        <w:rPr>
          <w:sz w:val="24"/>
        </w:rPr>
        <w:t>c</w:t>
      </w:r>
      <w:r w:rsidRPr="00800D22">
        <w:rPr>
          <w:sz w:val="24"/>
        </w:rPr>
        <w:t>）当</w:t>
      </w:r>
      <w:r w:rsidRPr="00800D22">
        <w:rPr>
          <w:sz w:val="24"/>
        </w:rPr>
        <w:t>p=2/3</w:t>
      </w:r>
      <w:r w:rsidRPr="00800D22">
        <w:rPr>
          <w:sz w:val="24"/>
        </w:rPr>
        <w:t>时，上述三个均衡同时存在。显然，在这个两阶段的博弈总是一个不稳定均衡，这是信息不对称条件</w:t>
      </w:r>
      <w:proofErr w:type="gramStart"/>
      <w:r w:rsidRPr="00800D22">
        <w:rPr>
          <w:sz w:val="24"/>
        </w:rPr>
        <w:t>下信息</w:t>
      </w:r>
      <w:proofErr w:type="gramEnd"/>
      <w:r w:rsidRPr="00800D22">
        <w:rPr>
          <w:sz w:val="24"/>
        </w:rPr>
        <w:t>优势方获得信息租金的结果，在重复博弈中随着信息租金的消失而</w:t>
      </w:r>
      <w:r w:rsidRPr="00800D22">
        <w:rPr>
          <w:rFonts w:hint="eastAsia"/>
          <w:sz w:val="24"/>
        </w:rPr>
        <w:t>变得稳定</w:t>
      </w:r>
      <w:r w:rsidRPr="00800D22">
        <w:rPr>
          <w:sz w:val="24"/>
        </w:rPr>
        <w:t>。因而在无限次重复博弈中，只存在两个稳定的精炼贝叶斯均衡：（授信，违约）和（不授信，违约）。</w:t>
      </w:r>
    </w:p>
    <w:p w14:paraId="6AA4E231" w14:textId="77777777" w:rsidR="009B11DE" w:rsidRPr="00800D22" w:rsidRDefault="009B11DE" w:rsidP="009B11DE">
      <w:pPr>
        <w:spacing w:line="440" w:lineRule="exact"/>
        <w:ind w:firstLineChars="200" w:firstLine="480"/>
        <w:rPr>
          <w:sz w:val="24"/>
        </w:rPr>
      </w:pPr>
      <w:r w:rsidRPr="00800D22">
        <w:rPr>
          <w:sz w:val="24"/>
        </w:rPr>
        <w:lastRenderedPageBreak/>
        <w:t>从上述模型中可以得到以下命题：信用双方只有通过重复博弈建立起长期的信用关系，才有可能在信用市场中剔除（授信，不守约）这个不稳定均衡，即消除企业的违约行为；否则，如果信用双方的博弈是一次性的</w:t>
      </w:r>
      <w:r w:rsidRPr="00800D22">
        <w:rPr>
          <w:rFonts w:hint="eastAsia"/>
          <w:sz w:val="24"/>
        </w:rPr>
        <w:t>，则</w:t>
      </w:r>
      <w:r w:rsidRPr="00800D22">
        <w:rPr>
          <w:sz w:val="24"/>
        </w:rPr>
        <w:t>企业的违约行为始终是存在的。</w:t>
      </w:r>
    </w:p>
    <w:p w14:paraId="52866544" w14:textId="77702000" w:rsidR="009B11DE" w:rsidRPr="00800D22" w:rsidRDefault="009B11DE" w:rsidP="009B11DE">
      <w:pPr>
        <w:widowControl/>
        <w:spacing w:line="440" w:lineRule="exact"/>
        <w:outlineLvl w:val="3"/>
        <w:rPr>
          <w:rFonts w:ascii="黑体" w:eastAsia="黑体" w:hAnsi="宋体"/>
          <w:bCs/>
          <w:sz w:val="24"/>
        </w:rPr>
      </w:pPr>
      <w:bookmarkStart w:id="2" w:name="_Toc238701416"/>
      <w:r>
        <w:rPr>
          <w:rFonts w:ascii="黑体" w:eastAsia="黑体" w:hAnsi="宋体" w:hint="eastAsia"/>
          <w:bCs/>
          <w:sz w:val="24"/>
        </w:rPr>
        <w:t>三、</w:t>
      </w:r>
      <w:r w:rsidRPr="00800D22">
        <w:rPr>
          <w:rFonts w:ascii="黑体" w:eastAsia="黑体" w:hAnsi="宋体"/>
          <w:bCs/>
          <w:sz w:val="24"/>
        </w:rPr>
        <w:t>信息经济学对我国信用缺失的解释</w:t>
      </w:r>
      <w:bookmarkEnd w:id="2"/>
    </w:p>
    <w:p w14:paraId="08E7B806" w14:textId="77777777" w:rsidR="009B11DE" w:rsidRPr="00800D22" w:rsidRDefault="009B11DE" w:rsidP="009B11DE">
      <w:pPr>
        <w:spacing w:line="440" w:lineRule="exact"/>
        <w:ind w:firstLineChars="200" w:firstLine="480"/>
        <w:rPr>
          <w:sz w:val="24"/>
        </w:rPr>
      </w:pPr>
      <w:r w:rsidRPr="00800D22">
        <w:rPr>
          <w:sz w:val="24"/>
        </w:rPr>
        <w:t>实际上，上述重复博弈命题的成立还需要满足一定的条件：</w:t>
      </w:r>
    </w:p>
    <w:p w14:paraId="3C8B7B3F" w14:textId="77777777" w:rsidR="009B11DE" w:rsidRPr="00800D22" w:rsidRDefault="009B11DE" w:rsidP="009B11DE">
      <w:pPr>
        <w:spacing w:line="440" w:lineRule="exact"/>
        <w:ind w:firstLineChars="200" w:firstLine="480"/>
        <w:rPr>
          <w:rFonts w:hint="eastAsia"/>
          <w:sz w:val="24"/>
        </w:rPr>
      </w:pPr>
      <w:r w:rsidRPr="00800D22">
        <w:rPr>
          <w:sz w:val="24"/>
        </w:rPr>
        <w:t>（</w:t>
      </w:r>
      <w:r w:rsidRPr="00800D22">
        <w:rPr>
          <w:sz w:val="24"/>
        </w:rPr>
        <w:t>1</w:t>
      </w:r>
      <w:r w:rsidRPr="00800D22">
        <w:rPr>
          <w:sz w:val="24"/>
        </w:rPr>
        <w:t>）交易双方具有等待博弈重复持久的足够耐心和明晰的产权关系</w:t>
      </w:r>
    </w:p>
    <w:p w14:paraId="4E03FB26" w14:textId="77777777" w:rsidR="009B11DE" w:rsidRPr="00800D22" w:rsidRDefault="009B11DE" w:rsidP="009B11DE">
      <w:pPr>
        <w:spacing w:line="440" w:lineRule="exact"/>
        <w:ind w:firstLineChars="200" w:firstLine="480"/>
        <w:rPr>
          <w:sz w:val="24"/>
        </w:rPr>
      </w:pPr>
      <w:r w:rsidRPr="00800D22">
        <w:rPr>
          <w:sz w:val="24"/>
        </w:rPr>
        <w:t>重复博弈是一个持久的过程，只有当博弈重复进行足够长的时间，使得预期总收益等于或超过失信所得收益时，交易主体才能产生守信的积极性。交易主体重复博弈的动力来自于明确的产权制度。如前所述，产权制度的基本功能是给人们提供一个追求长期利益的稳定预期。产权制度决定信用的收益权，如果产权不明晰，预期收益权不确定，交易主体就会选择短期的收益，从而偏好一次性博弈。</w:t>
      </w:r>
    </w:p>
    <w:p w14:paraId="09C6C3CA" w14:textId="77777777" w:rsidR="009B11DE" w:rsidRPr="00800D22" w:rsidRDefault="009B11DE" w:rsidP="009B11DE">
      <w:pPr>
        <w:spacing w:line="440" w:lineRule="exact"/>
        <w:ind w:firstLineChars="200" w:firstLine="480"/>
        <w:rPr>
          <w:rFonts w:hint="eastAsia"/>
          <w:sz w:val="24"/>
        </w:rPr>
      </w:pPr>
      <w:r w:rsidRPr="00800D22">
        <w:rPr>
          <w:sz w:val="24"/>
        </w:rPr>
        <w:t>（</w:t>
      </w:r>
      <w:r w:rsidRPr="00800D22">
        <w:rPr>
          <w:sz w:val="24"/>
        </w:rPr>
        <w:t>2</w:t>
      </w:r>
      <w:r w:rsidRPr="00800D22">
        <w:rPr>
          <w:sz w:val="24"/>
        </w:rPr>
        <w:t>）比较完备的信用信息披露机制和传递机制</w:t>
      </w:r>
    </w:p>
    <w:p w14:paraId="2951CDD6" w14:textId="77777777" w:rsidR="009B11DE" w:rsidRPr="00800D22" w:rsidRDefault="009B11DE" w:rsidP="009B11DE">
      <w:pPr>
        <w:spacing w:line="440" w:lineRule="exact"/>
        <w:ind w:firstLineChars="200" w:firstLine="480"/>
        <w:rPr>
          <w:sz w:val="24"/>
        </w:rPr>
      </w:pPr>
      <w:r w:rsidRPr="00800D22">
        <w:rPr>
          <w:sz w:val="24"/>
        </w:rPr>
        <w:t>经验表明，违约概率信息披露的透明度和信息传递速度呈负相关关系。在信息严重不对称的市场中，由于失信行为不能被及时曝光或被发现，交易主体更易倾向于不守信用。</w:t>
      </w:r>
    </w:p>
    <w:p w14:paraId="42526016" w14:textId="77777777" w:rsidR="009B11DE" w:rsidRPr="00800D22" w:rsidRDefault="009B11DE" w:rsidP="009B11DE">
      <w:pPr>
        <w:spacing w:line="440" w:lineRule="exact"/>
        <w:ind w:firstLineChars="200" w:firstLine="480"/>
        <w:rPr>
          <w:rFonts w:hint="eastAsia"/>
          <w:sz w:val="24"/>
        </w:rPr>
      </w:pPr>
      <w:r w:rsidRPr="00800D22">
        <w:rPr>
          <w:sz w:val="24"/>
        </w:rPr>
        <w:t>（</w:t>
      </w:r>
      <w:r w:rsidRPr="00800D22">
        <w:rPr>
          <w:sz w:val="24"/>
        </w:rPr>
        <w:t>3</w:t>
      </w:r>
      <w:r w:rsidRPr="00800D22">
        <w:rPr>
          <w:sz w:val="24"/>
        </w:rPr>
        <w:t>）健全有效的失信惩罚机制</w:t>
      </w:r>
    </w:p>
    <w:p w14:paraId="6D3D018F" w14:textId="77777777" w:rsidR="009B11DE" w:rsidRPr="00800D22" w:rsidRDefault="009B11DE" w:rsidP="009B11DE">
      <w:pPr>
        <w:spacing w:line="440" w:lineRule="exact"/>
        <w:ind w:firstLineChars="200" w:firstLine="480"/>
        <w:rPr>
          <w:sz w:val="24"/>
        </w:rPr>
      </w:pPr>
      <w:r w:rsidRPr="00800D22">
        <w:rPr>
          <w:sz w:val="24"/>
        </w:rPr>
        <w:t>缺乏失信惩罚机制，建立的失信惩罚机制</w:t>
      </w:r>
      <w:r w:rsidRPr="00800D22">
        <w:rPr>
          <w:rFonts w:hint="eastAsia"/>
          <w:sz w:val="24"/>
        </w:rPr>
        <w:t>“</w:t>
      </w:r>
      <w:r w:rsidRPr="00800D22">
        <w:rPr>
          <w:sz w:val="24"/>
        </w:rPr>
        <w:t>量刑</w:t>
      </w:r>
      <w:r w:rsidRPr="00800D22">
        <w:rPr>
          <w:rFonts w:hint="eastAsia"/>
          <w:sz w:val="24"/>
        </w:rPr>
        <w:t>”</w:t>
      </w:r>
      <w:r w:rsidRPr="00800D22">
        <w:rPr>
          <w:sz w:val="24"/>
        </w:rPr>
        <w:t>不够，就有可能导致失信成本低于失信所获收益，市场主体的最优选</w:t>
      </w:r>
      <w:proofErr w:type="gramStart"/>
      <w:r w:rsidRPr="00800D22">
        <w:rPr>
          <w:sz w:val="24"/>
        </w:rPr>
        <w:t>择只能</w:t>
      </w:r>
      <w:proofErr w:type="gramEnd"/>
      <w:r w:rsidRPr="00800D22">
        <w:rPr>
          <w:sz w:val="24"/>
        </w:rPr>
        <w:t>是违约而非守信。</w:t>
      </w:r>
    </w:p>
    <w:p w14:paraId="5871B56C" w14:textId="77777777" w:rsidR="009B11DE" w:rsidRPr="00800D22" w:rsidRDefault="009B11DE" w:rsidP="009B11DE">
      <w:pPr>
        <w:spacing w:line="440" w:lineRule="exact"/>
        <w:ind w:firstLineChars="200" w:firstLine="480"/>
        <w:rPr>
          <w:rFonts w:hint="eastAsia"/>
          <w:sz w:val="24"/>
        </w:rPr>
      </w:pPr>
      <w:r w:rsidRPr="00800D22">
        <w:rPr>
          <w:sz w:val="24"/>
        </w:rPr>
        <w:t>（</w:t>
      </w:r>
      <w:r w:rsidRPr="00800D22">
        <w:rPr>
          <w:sz w:val="24"/>
        </w:rPr>
        <w:t>4</w:t>
      </w:r>
      <w:r w:rsidRPr="00800D22">
        <w:rPr>
          <w:sz w:val="24"/>
        </w:rPr>
        <w:t>）信用主体具有较强的信用风险防范能力和信用风险管理技术</w:t>
      </w:r>
    </w:p>
    <w:p w14:paraId="1D49CE6C" w14:textId="77777777" w:rsidR="009B11DE" w:rsidRPr="00800D22" w:rsidRDefault="009B11DE" w:rsidP="009B11DE">
      <w:pPr>
        <w:spacing w:line="440" w:lineRule="exact"/>
        <w:ind w:firstLineChars="200" w:firstLine="480"/>
        <w:rPr>
          <w:sz w:val="24"/>
        </w:rPr>
      </w:pPr>
      <w:r w:rsidRPr="00800D22">
        <w:rPr>
          <w:sz w:val="24"/>
        </w:rPr>
        <w:t>对照上述条件分析，我国目前的现实信用制度和环境尚远未达到促进重复博弈，从而促使市场主体诚实守信的程度。</w:t>
      </w:r>
      <w:r w:rsidRPr="00800D22">
        <w:rPr>
          <w:rFonts w:ascii="宋体" w:hAnsi="宋体" w:hint="eastAsia"/>
          <w:sz w:val="24"/>
        </w:rPr>
        <w:t>①</w:t>
      </w:r>
      <w:r w:rsidRPr="00800D22">
        <w:rPr>
          <w:sz w:val="24"/>
        </w:rPr>
        <w:t>产权制度改革还很不彻底，政企不分，</w:t>
      </w:r>
      <w:proofErr w:type="gramStart"/>
      <w:r w:rsidRPr="00800D22">
        <w:rPr>
          <w:sz w:val="24"/>
        </w:rPr>
        <w:t>政银不分</w:t>
      </w:r>
      <w:proofErr w:type="gramEnd"/>
      <w:r w:rsidRPr="00800D22">
        <w:rPr>
          <w:sz w:val="24"/>
        </w:rPr>
        <w:t>，国有企业与国有银行共有一个</w:t>
      </w:r>
      <w:r w:rsidRPr="00800D22">
        <w:rPr>
          <w:rFonts w:hint="eastAsia"/>
          <w:sz w:val="24"/>
        </w:rPr>
        <w:t>“</w:t>
      </w:r>
      <w:r w:rsidRPr="00800D22">
        <w:rPr>
          <w:sz w:val="24"/>
        </w:rPr>
        <w:t>老板</w:t>
      </w:r>
      <w:r w:rsidRPr="00800D22">
        <w:rPr>
          <w:rFonts w:hint="eastAsia"/>
          <w:sz w:val="24"/>
        </w:rPr>
        <w:t>”——</w:t>
      </w:r>
      <w:r w:rsidRPr="00800D22">
        <w:rPr>
          <w:sz w:val="24"/>
        </w:rPr>
        <w:t>政府等问题依然存在，企业特别是国有企业没有激励去培养自己的信用资产，从而造成银行信贷主体</w:t>
      </w:r>
      <w:r w:rsidRPr="00800D22">
        <w:rPr>
          <w:sz w:val="24"/>
        </w:rPr>
        <w:t>——</w:t>
      </w:r>
      <w:r w:rsidRPr="00800D22">
        <w:rPr>
          <w:sz w:val="24"/>
        </w:rPr>
        <w:t>国有企业的预算软约束和国有信用主体的高违约率。</w:t>
      </w:r>
      <w:r w:rsidRPr="00800D22">
        <w:rPr>
          <w:rFonts w:ascii="宋体" w:hAnsi="宋体" w:hint="eastAsia"/>
          <w:sz w:val="24"/>
        </w:rPr>
        <w:t>②</w:t>
      </w:r>
      <w:r w:rsidRPr="00800D22">
        <w:rPr>
          <w:sz w:val="24"/>
        </w:rPr>
        <w:t>我国自改革开放以来，一直没有建立和完善市场经济发展所需要的信息披露和信息传递制度，造成信息供给的严重短缺。目前无论是信息公开的法律规定还是信息披露的主要渠道，都是不完善和不畅通的。另外，由于立法及执法体系不健全，企业及个人制造虚假信息几乎不受成本约束，造成信用市场的虚假信息普遍存在。信息供给的严重短缺和虚假信息的普遍存在，使我国信用市场中交易双方的信息不对称程度大大超出一般市场经济国家的正常水平。因而，不讲信誉的企业及其信息租金大量存在。</w:t>
      </w:r>
      <w:proofErr w:type="gramStart"/>
      <w:r w:rsidRPr="00800D22">
        <w:rPr>
          <w:sz w:val="24"/>
        </w:rPr>
        <w:lastRenderedPageBreak/>
        <w:t>授信方也</w:t>
      </w:r>
      <w:proofErr w:type="gramEnd"/>
      <w:r w:rsidRPr="00800D22">
        <w:rPr>
          <w:sz w:val="24"/>
        </w:rPr>
        <w:t>只能以较高的信息成本和较低的准确性来区分不同信用水平的企业，对授信企业的违约期望值较高，极大地削弱了</w:t>
      </w:r>
      <w:proofErr w:type="gramStart"/>
      <w:r w:rsidRPr="00800D22">
        <w:rPr>
          <w:sz w:val="24"/>
        </w:rPr>
        <w:t>授信方提供</w:t>
      </w:r>
      <w:proofErr w:type="gramEnd"/>
      <w:r w:rsidRPr="00800D22">
        <w:rPr>
          <w:sz w:val="24"/>
        </w:rPr>
        <w:t>信用服务的激励，造成整个社会信用资源的浪费。</w:t>
      </w:r>
      <w:r w:rsidRPr="00800D22">
        <w:rPr>
          <w:rFonts w:ascii="宋体" w:hAnsi="宋体" w:hint="eastAsia"/>
          <w:sz w:val="24"/>
        </w:rPr>
        <w:t>③</w:t>
      </w:r>
      <w:r w:rsidRPr="00800D22">
        <w:rPr>
          <w:sz w:val="24"/>
        </w:rPr>
        <w:t>客观而言，我国目前惩罚失信的法律制度不能有效抑制失信行为，一是信用法律体系不健全；二是现有的法律制度难以有效执行，失信者无需付出多大的失信成本，对其失信不形成反面激励；三是政府行为对司法部门的不当干预使司法不能真正独立，各级司法部门听命于各级政府，对本地债务人实施保护主义，助长了企业失信歪风。</w:t>
      </w:r>
      <w:r w:rsidRPr="00800D22">
        <w:rPr>
          <w:rFonts w:ascii="宋体" w:hAnsi="宋体" w:hint="eastAsia"/>
          <w:sz w:val="24"/>
        </w:rPr>
        <w:t>④</w:t>
      </w:r>
      <w:r w:rsidRPr="00800D22">
        <w:rPr>
          <w:sz w:val="24"/>
        </w:rPr>
        <w:t>目前我国企业和金融机构信用管理水平普遍较低，尤其是企业，缺乏基本的信用管理制度，更没有科学的风险管理方法，因而在经济交易中，</w:t>
      </w:r>
      <w:r w:rsidRPr="00800D22">
        <w:rPr>
          <w:rFonts w:hint="eastAsia"/>
          <w:sz w:val="24"/>
        </w:rPr>
        <w:t>授信者</w:t>
      </w:r>
      <w:r w:rsidRPr="00800D22">
        <w:rPr>
          <w:sz w:val="24"/>
        </w:rPr>
        <w:t>无法准确识别和</w:t>
      </w:r>
      <w:proofErr w:type="gramStart"/>
      <w:r w:rsidRPr="00800D22">
        <w:rPr>
          <w:sz w:val="24"/>
        </w:rPr>
        <w:t>判断受信方</w:t>
      </w:r>
      <w:proofErr w:type="gramEnd"/>
      <w:r w:rsidRPr="00800D22">
        <w:rPr>
          <w:sz w:val="24"/>
        </w:rPr>
        <w:t>的信用状况，从而难以控制面临的信用风险，这在一定程度上加剧了信息的不对称性，又在客观上助长了信用缺失的蔓延。</w:t>
      </w:r>
    </w:p>
    <w:p w14:paraId="2E78F666" w14:textId="77777777" w:rsidR="008D0AC4" w:rsidRPr="009B11DE" w:rsidRDefault="008D0AC4">
      <w:pPr>
        <w:rPr>
          <w:rFonts w:hint="eastAsia"/>
        </w:rPr>
      </w:pPr>
    </w:p>
    <w:sectPr w:rsidR="008D0AC4" w:rsidRPr="009B11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7F65" w14:textId="77777777" w:rsidR="009A02A7" w:rsidRDefault="009A02A7" w:rsidP="009B11DE">
      <w:pPr>
        <w:rPr>
          <w:rFonts w:hint="eastAsia"/>
        </w:rPr>
      </w:pPr>
      <w:r>
        <w:separator/>
      </w:r>
    </w:p>
  </w:endnote>
  <w:endnote w:type="continuationSeparator" w:id="0">
    <w:p w14:paraId="698289D9" w14:textId="77777777" w:rsidR="009A02A7" w:rsidRDefault="009A02A7" w:rsidP="009B11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B9F8D" w14:textId="77777777" w:rsidR="009A02A7" w:rsidRDefault="009A02A7" w:rsidP="009B11DE">
      <w:pPr>
        <w:rPr>
          <w:rFonts w:hint="eastAsia"/>
        </w:rPr>
      </w:pPr>
      <w:r>
        <w:separator/>
      </w:r>
    </w:p>
  </w:footnote>
  <w:footnote w:type="continuationSeparator" w:id="0">
    <w:p w14:paraId="2320DF69" w14:textId="77777777" w:rsidR="009A02A7" w:rsidRDefault="009A02A7" w:rsidP="009B11DE">
      <w:pPr>
        <w:rPr>
          <w:rFonts w:hint="eastAsia"/>
        </w:rPr>
      </w:pPr>
      <w:r>
        <w:continuationSeparator/>
      </w:r>
    </w:p>
  </w:footnote>
  <w:footnote w:id="1">
    <w:p w14:paraId="3380C513" w14:textId="77777777" w:rsidR="009B11DE" w:rsidRPr="008C0FF9" w:rsidRDefault="009B11DE" w:rsidP="009B11DE">
      <w:pPr>
        <w:pStyle w:val="11"/>
        <w:rPr>
          <w:rFonts w:ascii="Times New Roman" w:eastAsia="新宋体" w:hAnsi="Times New Roman"/>
          <w:sz w:val="18"/>
        </w:rPr>
      </w:pPr>
      <w:r w:rsidRPr="00AE44DA">
        <w:rPr>
          <w:rFonts w:ascii="Times New Roman" w:eastAsia="新宋体" w:hAnsi="Times New Roman"/>
          <w:sz w:val="18"/>
        </w:rPr>
        <w:footnoteRef/>
      </w:r>
      <w:r>
        <w:rPr>
          <w:rFonts w:eastAsia="新宋体" w:hint="eastAsia"/>
          <w:kern w:val="0"/>
          <w:szCs w:val="21"/>
        </w:rPr>
        <w:t xml:space="preserve"> </w:t>
      </w:r>
      <w:proofErr w:type="gramStart"/>
      <w:r w:rsidRPr="008C0FF9">
        <w:rPr>
          <w:rFonts w:ascii="Times New Roman" w:eastAsia="新宋体"/>
          <w:kern w:val="0"/>
          <w:sz w:val="18"/>
        </w:rPr>
        <w:t>陆桔利</w:t>
      </w:r>
      <w:proofErr w:type="gramEnd"/>
      <w:r w:rsidRPr="008C0FF9">
        <w:rPr>
          <w:rFonts w:ascii="Times New Roman" w:eastAsia="新宋体"/>
          <w:kern w:val="0"/>
          <w:sz w:val="18"/>
        </w:rPr>
        <w:t>，何玉长</w:t>
      </w:r>
      <w:r w:rsidRPr="008C0FF9">
        <w:rPr>
          <w:rFonts w:ascii="Times New Roman" w:eastAsia="新宋体" w:hAnsi="Times New Roman"/>
          <w:kern w:val="0"/>
          <w:sz w:val="18"/>
        </w:rPr>
        <w:t xml:space="preserve">. </w:t>
      </w:r>
      <w:r w:rsidRPr="008C0FF9">
        <w:rPr>
          <w:rFonts w:ascii="Times New Roman" w:eastAsia="新宋体"/>
          <w:kern w:val="0"/>
          <w:sz w:val="18"/>
        </w:rPr>
        <w:t>诚信的信息经济学分析</w:t>
      </w:r>
      <w:r w:rsidRPr="008C0FF9">
        <w:rPr>
          <w:rFonts w:ascii="Times New Roman" w:eastAsia="新宋体" w:hAnsi="Times New Roman"/>
          <w:kern w:val="0"/>
          <w:sz w:val="18"/>
        </w:rPr>
        <w:t>[J]</w:t>
      </w:r>
      <w:r w:rsidRPr="008C0FF9">
        <w:rPr>
          <w:rFonts w:ascii="Times New Roman" w:eastAsia="新宋体"/>
          <w:kern w:val="0"/>
          <w:sz w:val="18"/>
        </w:rPr>
        <w:t>，学术月刊，</w:t>
      </w:r>
      <w:r w:rsidRPr="008C0FF9">
        <w:rPr>
          <w:rFonts w:ascii="Times New Roman" w:eastAsia="新宋体" w:hAnsi="Times New Roman"/>
          <w:kern w:val="0"/>
          <w:sz w:val="18"/>
        </w:rPr>
        <w:t>2003</w:t>
      </w:r>
      <w:r w:rsidRPr="008C0FF9">
        <w:rPr>
          <w:rFonts w:ascii="Times New Roman" w:eastAsia="新宋体"/>
          <w:kern w:val="0"/>
          <w:sz w:val="18"/>
        </w:rPr>
        <w:t>，（</w:t>
      </w:r>
      <w:r w:rsidRPr="008C0FF9">
        <w:rPr>
          <w:rFonts w:ascii="Times New Roman" w:eastAsia="新宋体" w:hAnsi="Times New Roman"/>
          <w:kern w:val="0"/>
          <w:sz w:val="18"/>
        </w:rPr>
        <w:t>12</w:t>
      </w:r>
      <w:r w:rsidRPr="008C0FF9">
        <w:rPr>
          <w:rFonts w:ascii="Times New Roman" w:eastAsia="新宋体"/>
          <w:kern w:val="0"/>
          <w:sz w:val="18"/>
        </w:rPr>
        <w:t>）：</w:t>
      </w:r>
      <w:r w:rsidRPr="008C0FF9">
        <w:rPr>
          <w:rFonts w:ascii="Times New Roman" w:eastAsia="新宋体" w:hAnsi="Times New Roman"/>
          <w:kern w:val="0"/>
          <w:sz w:val="18"/>
        </w:rPr>
        <w:t>31-36.</w:t>
      </w:r>
    </w:p>
  </w:footnote>
  <w:footnote w:id="2">
    <w:p w14:paraId="6E153A73" w14:textId="77777777" w:rsidR="009B11DE" w:rsidRPr="008C0FF9" w:rsidRDefault="009B11DE" w:rsidP="009B11DE">
      <w:pPr>
        <w:pStyle w:val="11"/>
        <w:rPr>
          <w:rFonts w:ascii="Times New Roman" w:hAnsi="Times New Roman"/>
          <w:sz w:val="18"/>
        </w:rPr>
      </w:pPr>
      <w:r w:rsidRPr="008C0FF9">
        <w:rPr>
          <w:rFonts w:ascii="Times New Roman" w:eastAsia="新宋体" w:hAnsi="Times New Roman"/>
          <w:sz w:val="18"/>
        </w:rPr>
        <w:footnoteRef/>
      </w:r>
      <w:r w:rsidRPr="008C0FF9">
        <w:rPr>
          <w:rFonts w:ascii="Times New Roman" w:eastAsia="新宋体" w:hAnsi="Times New Roman"/>
          <w:kern w:val="0"/>
          <w:sz w:val="18"/>
        </w:rPr>
        <w:t xml:space="preserve"> </w:t>
      </w:r>
      <w:r w:rsidRPr="008C0FF9">
        <w:rPr>
          <w:rFonts w:ascii="Times New Roman" w:eastAsia="新宋体"/>
          <w:kern w:val="0"/>
          <w:sz w:val="18"/>
        </w:rPr>
        <w:t>张维迎</w:t>
      </w:r>
      <w:r w:rsidRPr="008C0FF9">
        <w:rPr>
          <w:rFonts w:ascii="Times New Roman" w:eastAsia="新宋体" w:hAnsi="Times New Roman"/>
          <w:kern w:val="0"/>
          <w:sz w:val="18"/>
        </w:rPr>
        <w:t xml:space="preserve">. </w:t>
      </w:r>
      <w:r w:rsidRPr="008C0FF9">
        <w:rPr>
          <w:rFonts w:ascii="Times New Roman" w:eastAsia="新宋体"/>
          <w:kern w:val="0"/>
          <w:sz w:val="18"/>
        </w:rPr>
        <w:t>博弈论与信息经济学</w:t>
      </w:r>
      <w:r w:rsidRPr="008C0FF9">
        <w:rPr>
          <w:rFonts w:ascii="Times New Roman" w:eastAsia="新宋体" w:hAnsi="Times New Roman"/>
          <w:kern w:val="0"/>
          <w:sz w:val="18"/>
        </w:rPr>
        <w:t>[M]</w:t>
      </w:r>
      <w:r w:rsidRPr="008C0FF9">
        <w:rPr>
          <w:rFonts w:ascii="Times New Roman" w:eastAsia="新宋体"/>
          <w:kern w:val="0"/>
          <w:sz w:val="18"/>
        </w:rPr>
        <w:t>，上海：三联书店，</w:t>
      </w:r>
      <w:r w:rsidRPr="008C0FF9">
        <w:rPr>
          <w:rFonts w:ascii="Times New Roman" w:eastAsia="新宋体" w:hAnsi="Times New Roman"/>
          <w:kern w:val="0"/>
          <w:sz w:val="18"/>
        </w:rPr>
        <w:t>1996</w:t>
      </w:r>
      <w:r w:rsidRPr="008C0FF9">
        <w:rPr>
          <w:rFonts w:ascii="Times New Roman" w:eastAsia="新宋体"/>
          <w:kern w:val="0"/>
          <w:sz w:val="18"/>
        </w:rPr>
        <w:t>，</w:t>
      </w:r>
      <w:r w:rsidRPr="008C0FF9">
        <w:rPr>
          <w:rFonts w:ascii="Times New Roman" w:eastAsia="新宋体" w:hAnsi="Times New Roman"/>
          <w:kern w:val="0"/>
          <w:sz w:val="18"/>
        </w:rPr>
        <w:t>339-339.</w:t>
      </w:r>
    </w:p>
  </w:footnote>
  <w:footnote w:id="3">
    <w:p w14:paraId="3F7031BB" w14:textId="77777777" w:rsidR="009B11DE" w:rsidRDefault="009B11DE" w:rsidP="009B11DE">
      <w:pPr>
        <w:pStyle w:val="af2"/>
        <w:rPr>
          <w:rFonts w:hint="eastAsia"/>
        </w:rPr>
      </w:pPr>
      <w:r>
        <w:rPr>
          <w:rStyle w:val="af4"/>
        </w:rPr>
        <w:footnoteRef/>
      </w:r>
      <w:r>
        <w:rPr>
          <w:rFonts w:hint="eastAsia"/>
        </w:rPr>
        <w:t xml:space="preserve"> </w:t>
      </w:r>
      <w:r w:rsidRPr="00A13597">
        <w:rPr>
          <w:rFonts w:hint="eastAsia"/>
        </w:rPr>
        <w:t>又</w:t>
      </w:r>
      <w:r w:rsidRPr="00A13597">
        <w:t>称</w:t>
      </w:r>
      <w:r>
        <w:rPr>
          <w:rFonts w:hint="eastAsia"/>
        </w:rPr>
        <w:t>“</w:t>
      </w:r>
      <w:r w:rsidRPr="00A13597">
        <w:t>二手车市场</w:t>
      </w:r>
      <w:r>
        <w:rPr>
          <w:rFonts w:hint="eastAsia"/>
        </w:rPr>
        <w:t>”</w:t>
      </w:r>
      <w:r w:rsidRPr="00A13597">
        <w:rPr>
          <w:rFonts w:hint="eastAsia"/>
        </w:rPr>
        <w:t>或</w:t>
      </w:r>
      <w:r>
        <w:rPr>
          <w:rFonts w:hint="eastAsia"/>
        </w:rPr>
        <w:t>“</w:t>
      </w:r>
      <w:r w:rsidRPr="00A13597">
        <w:t>柠檬市场</w:t>
      </w:r>
      <w:r>
        <w:rPr>
          <w:rFonts w:hint="eastAsia"/>
        </w:rPr>
        <w:t>”</w:t>
      </w:r>
      <w:r w:rsidRPr="00A13597">
        <w:rPr>
          <w:rFonts w:hint="eastAsia"/>
        </w:rPr>
        <w:t>，</w:t>
      </w:r>
      <w:r w:rsidRPr="00A13597">
        <w:t>是美国经济学家阿克罗夫提出的因信息不对称、市场不完全造成的</w:t>
      </w:r>
      <w:proofErr w:type="gramStart"/>
      <w:r w:rsidRPr="00A13597">
        <w:t>一</w:t>
      </w:r>
      <w:proofErr w:type="gramEnd"/>
      <w:r w:rsidRPr="00A13597">
        <w:t>市场失灵的造假经济现象</w:t>
      </w:r>
      <w:r w:rsidRPr="00A13597">
        <w:rPr>
          <w:rFonts w:hint="eastAsia"/>
        </w:rPr>
        <w:t>。</w:t>
      </w:r>
    </w:p>
  </w:footnote>
  <w:footnote w:id="4">
    <w:p w14:paraId="4E30B8C3" w14:textId="77777777" w:rsidR="009B11DE" w:rsidRPr="00325239" w:rsidRDefault="009B11DE" w:rsidP="009B11DE">
      <w:pPr>
        <w:widowControl/>
        <w:snapToGrid w:val="0"/>
        <w:ind w:left="180" w:hangingChars="100" w:hanging="180"/>
        <w:jc w:val="left"/>
        <w:rPr>
          <w:rFonts w:eastAsia="新宋体"/>
          <w:kern w:val="0"/>
          <w:sz w:val="18"/>
          <w:szCs w:val="18"/>
        </w:rPr>
      </w:pPr>
      <w:r w:rsidRPr="00325239">
        <w:rPr>
          <w:sz w:val="18"/>
          <w:szCs w:val="18"/>
        </w:rPr>
        <w:footnoteRef/>
      </w:r>
      <w:r w:rsidRPr="00325239">
        <w:rPr>
          <w:rFonts w:hint="eastAsia"/>
          <w:kern w:val="0"/>
          <w:sz w:val="18"/>
          <w:szCs w:val="18"/>
        </w:rPr>
        <w:t xml:space="preserve"> </w:t>
      </w:r>
      <w:r w:rsidRPr="00325239">
        <w:rPr>
          <w:kern w:val="0"/>
          <w:sz w:val="18"/>
          <w:szCs w:val="18"/>
        </w:rPr>
        <w:t>刘少波，蒋海</w:t>
      </w:r>
      <w:r w:rsidRPr="00325239">
        <w:rPr>
          <w:kern w:val="0"/>
          <w:sz w:val="18"/>
          <w:szCs w:val="18"/>
        </w:rPr>
        <w:t xml:space="preserve">. </w:t>
      </w:r>
      <w:r w:rsidRPr="00325239">
        <w:rPr>
          <w:kern w:val="0"/>
          <w:sz w:val="18"/>
          <w:szCs w:val="18"/>
        </w:rPr>
        <w:t>信誉机制、信用资源的有效供给与信用缺失治理</w:t>
      </w:r>
      <w:r w:rsidRPr="00325239">
        <w:rPr>
          <w:kern w:val="0"/>
          <w:sz w:val="18"/>
          <w:szCs w:val="18"/>
        </w:rPr>
        <w:t>[J]</w:t>
      </w:r>
      <w:r w:rsidRPr="00325239">
        <w:rPr>
          <w:kern w:val="0"/>
          <w:sz w:val="18"/>
          <w:szCs w:val="18"/>
        </w:rPr>
        <w:t>，金融研究，</w:t>
      </w:r>
      <w:r w:rsidRPr="00325239">
        <w:rPr>
          <w:kern w:val="0"/>
          <w:sz w:val="18"/>
          <w:szCs w:val="18"/>
        </w:rPr>
        <w:t>2004</w:t>
      </w:r>
      <w:r w:rsidRPr="00325239">
        <w:rPr>
          <w:kern w:val="0"/>
          <w:sz w:val="18"/>
          <w:szCs w:val="18"/>
        </w:rPr>
        <w:t>，（</w:t>
      </w:r>
      <w:r w:rsidRPr="00325239">
        <w:rPr>
          <w:kern w:val="0"/>
          <w:sz w:val="18"/>
          <w:szCs w:val="18"/>
        </w:rPr>
        <w:t>1</w:t>
      </w:r>
      <w:r w:rsidRPr="00325239">
        <w:rPr>
          <w:kern w:val="0"/>
          <w:sz w:val="18"/>
          <w:szCs w:val="18"/>
        </w:rPr>
        <w:t>）：</w:t>
      </w:r>
      <w:r w:rsidRPr="00325239">
        <w:rPr>
          <w:kern w:val="0"/>
          <w:sz w:val="18"/>
          <w:szCs w:val="18"/>
        </w:rPr>
        <w:t>55-61.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41862"/>
    <w:multiLevelType w:val="hybridMultilevel"/>
    <w:tmpl w:val="6BFAE35C"/>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16cid:durableId="58989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7C"/>
    <w:rsid w:val="001229D8"/>
    <w:rsid w:val="001B4656"/>
    <w:rsid w:val="0025005C"/>
    <w:rsid w:val="0026744F"/>
    <w:rsid w:val="00341F2B"/>
    <w:rsid w:val="0072271E"/>
    <w:rsid w:val="008D0AC4"/>
    <w:rsid w:val="0090757C"/>
    <w:rsid w:val="009A02A7"/>
    <w:rsid w:val="009B11DE"/>
    <w:rsid w:val="00DB1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FAB0A"/>
  <w15:chartTrackingRefBased/>
  <w15:docId w15:val="{5FFD991B-93CE-4DD0-B4ED-E87E5452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1D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9075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9075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9075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5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5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57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57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57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0757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5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5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5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57C"/>
    <w:rPr>
      <w:rFonts w:cstheme="majorBidi"/>
      <w:color w:val="2F5496" w:themeColor="accent1" w:themeShade="BF"/>
      <w:sz w:val="28"/>
      <w:szCs w:val="28"/>
    </w:rPr>
  </w:style>
  <w:style w:type="character" w:customStyle="1" w:styleId="50">
    <w:name w:val="标题 5 字符"/>
    <w:basedOn w:val="a0"/>
    <w:link w:val="5"/>
    <w:uiPriority w:val="9"/>
    <w:semiHidden/>
    <w:rsid w:val="0090757C"/>
    <w:rPr>
      <w:rFonts w:cstheme="majorBidi"/>
      <w:color w:val="2F5496" w:themeColor="accent1" w:themeShade="BF"/>
      <w:sz w:val="24"/>
    </w:rPr>
  </w:style>
  <w:style w:type="character" w:customStyle="1" w:styleId="60">
    <w:name w:val="标题 6 字符"/>
    <w:basedOn w:val="a0"/>
    <w:link w:val="6"/>
    <w:uiPriority w:val="9"/>
    <w:semiHidden/>
    <w:rsid w:val="0090757C"/>
    <w:rPr>
      <w:rFonts w:cstheme="majorBidi"/>
      <w:b/>
      <w:bCs/>
      <w:color w:val="2F5496" w:themeColor="accent1" w:themeShade="BF"/>
    </w:rPr>
  </w:style>
  <w:style w:type="character" w:customStyle="1" w:styleId="70">
    <w:name w:val="标题 7 字符"/>
    <w:basedOn w:val="a0"/>
    <w:link w:val="7"/>
    <w:uiPriority w:val="9"/>
    <w:semiHidden/>
    <w:rsid w:val="0090757C"/>
    <w:rPr>
      <w:rFonts w:cstheme="majorBidi"/>
      <w:b/>
      <w:bCs/>
      <w:color w:val="595959" w:themeColor="text1" w:themeTint="A6"/>
    </w:rPr>
  </w:style>
  <w:style w:type="character" w:customStyle="1" w:styleId="80">
    <w:name w:val="标题 8 字符"/>
    <w:basedOn w:val="a0"/>
    <w:link w:val="8"/>
    <w:uiPriority w:val="9"/>
    <w:semiHidden/>
    <w:rsid w:val="0090757C"/>
    <w:rPr>
      <w:rFonts w:cstheme="majorBidi"/>
      <w:color w:val="595959" w:themeColor="text1" w:themeTint="A6"/>
    </w:rPr>
  </w:style>
  <w:style w:type="character" w:customStyle="1" w:styleId="90">
    <w:name w:val="标题 9 字符"/>
    <w:basedOn w:val="a0"/>
    <w:link w:val="9"/>
    <w:uiPriority w:val="9"/>
    <w:semiHidden/>
    <w:rsid w:val="0090757C"/>
    <w:rPr>
      <w:rFonts w:eastAsiaTheme="majorEastAsia" w:cstheme="majorBidi"/>
      <w:color w:val="595959" w:themeColor="text1" w:themeTint="A6"/>
    </w:rPr>
  </w:style>
  <w:style w:type="paragraph" w:styleId="a3">
    <w:name w:val="Title"/>
    <w:basedOn w:val="a"/>
    <w:next w:val="a"/>
    <w:link w:val="a4"/>
    <w:uiPriority w:val="10"/>
    <w:qFormat/>
    <w:rsid w:val="0090757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5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5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5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57C"/>
    <w:pPr>
      <w:spacing w:before="160"/>
      <w:jc w:val="center"/>
    </w:pPr>
    <w:rPr>
      <w:i/>
      <w:iCs/>
      <w:color w:val="404040" w:themeColor="text1" w:themeTint="BF"/>
    </w:rPr>
  </w:style>
  <w:style w:type="character" w:customStyle="1" w:styleId="a8">
    <w:name w:val="引用 字符"/>
    <w:basedOn w:val="a0"/>
    <w:link w:val="a7"/>
    <w:uiPriority w:val="29"/>
    <w:rsid w:val="0090757C"/>
    <w:rPr>
      <w:i/>
      <w:iCs/>
      <w:color w:val="404040" w:themeColor="text1" w:themeTint="BF"/>
    </w:rPr>
  </w:style>
  <w:style w:type="paragraph" w:styleId="a9">
    <w:name w:val="List Paragraph"/>
    <w:basedOn w:val="a"/>
    <w:uiPriority w:val="34"/>
    <w:qFormat/>
    <w:rsid w:val="0090757C"/>
    <w:pPr>
      <w:ind w:left="720"/>
      <w:contextualSpacing/>
    </w:pPr>
  </w:style>
  <w:style w:type="character" w:styleId="aa">
    <w:name w:val="Intense Emphasis"/>
    <w:basedOn w:val="a0"/>
    <w:uiPriority w:val="21"/>
    <w:qFormat/>
    <w:rsid w:val="0090757C"/>
    <w:rPr>
      <w:i/>
      <w:iCs/>
      <w:color w:val="2F5496" w:themeColor="accent1" w:themeShade="BF"/>
    </w:rPr>
  </w:style>
  <w:style w:type="paragraph" w:styleId="ab">
    <w:name w:val="Intense Quote"/>
    <w:basedOn w:val="a"/>
    <w:next w:val="a"/>
    <w:link w:val="ac"/>
    <w:uiPriority w:val="30"/>
    <w:qFormat/>
    <w:rsid w:val="00907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57C"/>
    <w:rPr>
      <w:i/>
      <w:iCs/>
      <w:color w:val="2F5496" w:themeColor="accent1" w:themeShade="BF"/>
    </w:rPr>
  </w:style>
  <w:style w:type="character" w:styleId="ad">
    <w:name w:val="Intense Reference"/>
    <w:basedOn w:val="a0"/>
    <w:uiPriority w:val="32"/>
    <w:qFormat/>
    <w:rsid w:val="0090757C"/>
    <w:rPr>
      <w:b/>
      <w:bCs/>
      <w:smallCaps/>
      <w:color w:val="2F5496" w:themeColor="accent1" w:themeShade="BF"/>
      <w:spacing w:val="5"/>
    </w:rPr>
  </w:style>
  <w:style w:type="paragraph" w:styleId="ae">
    <w:name w:val="header"/>
    <w:basedOn w:val="a"/>
    <w:link w:val="af"/>
    <w:uiPriority w:val="99"/>
    <w:unhideWhenUsed/>
    <w:rsid w:val="009B11DE"/>
    <w:pPr>
      <w:tabs>
        <w:tab w:val="center" w:pos="4153"/>
        <w:tab w:val="right" w:pos="8306"/>
      </w:tabs>
      <w:snapToGrid w:val="0"/>
      <w:jc w:val="center"/>
    </w:pPr>
    <w:rPr>
      <w:sz w:val="18"/>
      <w:szCs w:val="18"/>
    </w:rPr>
  </w:style>
  <w:style w:type="character" w:customStyle="1" w:styleId="af">
    <w:name w:val="页眉 字符"/>
    <w:basedOn w:val="a0"/>
    <w:link w:val="ae"/>
    <w:uiPriority w:val="99"/>
    <w:rsid w:val="009B11DE"/>
    <w:rPr>
      <w:sz w:val="18"/>
      <w:szCs w:val="18"/>
    </w:rPr>
  </w:style>
  <w:style w:type="paragraph" w:styleId="af0">
    <w:name w:val="footer"/>
    <w:basedOn w:val="a"/>
    <w:link w:val="af1"/>
    <w:uiPriority w:val="99"/>
    <w:unhideWhenUsed/>
    <w:rsid w:val="009B11DE"/>
    <w:pPr>
      <w:tabs>
        <w:tab w:val="center" w:pos="4153"/>
        <w:tab w:val="right" w:pos="8306"/>
      </w:tabs>
      <w:snapToGrid w:val="0"/>
    </w:pPr>
    <w:rPr>
      <w:sz w:val="18"/>
      <w:szCs w:val="18"/>
    </w:rPr>
  </w:style>
  <w:style w:type="character" w:customStyle="1" w:styleId="af1">
    <w:name w:val="页脚 字符"/>
    <w:basedOn w:val="a0"/>
    <w:link w:val="af0"/>
    <w:uiPriority w:val="99"/>
    <w:rsid w:val="009B11DE"/>
    <w:rPr>
      <w:sz w:val="18"/>
      <w:szCs w:val="18"/>
    </w:rPr>
  </w:style>
  <w:style w:type="character" w:customStyle="1" w:styleId="3Char">
    <w:name w:val="标题 3 Char"/>
    <w:rsid w:val="009B11DE"/>
    <w:rPr>
      <w:rFonts w:eastAsia="宋体"/>
      <w:b/>
      <w:bCs/>
      <w:kern w:val="2"/>
      <w:sz w:val="32"/>
      <w:szCs w:val="32"/>
      <w:lang w:val="en-US" w:eastAsia="zh-CN" w:bidi="ar-SA"/>
    </w:rPr>
  </w:style>
  <w:style w:type="paragraph" w:styleId="af2">
    <w:name w:val="footnote text"/>
    <w:basedOn w:val="a"/>
    <w:link w:val="Char"/>
    <w:semiHidden/>
    <w:rsid w:val="009B11DE"/>
    <w:pPr>
      <w:snapToGrid w:val="0"/>
      <w:jc w:val="left"/>
    </w:pPr>
    <w:rPr>
      <w:sz w:val="18"/>
      <w:szCs w:val="18"/>
    </w:rPr>
  </w:style>
  <w:style w:type="character" w:customStyle="1" w:styleId="af3">
    <w:name w:val="脚注文本 字符"/>
    <w:basedOn w:val="a0"/>
    <w:uiPriority w:val="99"/>
    <w:semiHidden/>
    <w:rsid w:val="009B11DE"/>
    <w:rPr>
      <w:rFonts w:ascii="Times New Roman" w:eastAsia="宋体" w:hAnsi="Times New Roman" w:cs="Times New Roman"/>
      <w:sz w:val="18"/>
      <w:szCs w:val="18"/>
      <w14:ligatures w14:val="none"/>
    </w:rPr>
  </w:style>
  <w:style w:type="character" w:customStyle="1" w:styleId="Char">
    <w:name w:val="脚注文本 Char"/>
    <w:link w:val="af2"/>
    <w:semiHidden/>
    <w:rsid w:val="009B11DE"/>
    <w:rPr>
      <w:rFonts w:ascii="Times New Roman" w:eastAsia="宋体" w:hAnsi="Times New Roman" w:cs="Times New Roman"/>
      <w:sz w:val="18"/>
      <w:szCs w:val="18"/>
      <w14:ligatures w14:val="none"/>
    </w:rPr>
  </w:style>
  <w:style w:type="character" w:styleId="af4">
    <w:name w:val="footnote reference"/>
    <w:semiHidden/>
    <w:rsid w:val="009B11DE"/>
    <w:rPr>
      <w:vertAlign w:val="superscript"/>
    </w:rPr>
  </w:style>
  <w:style w:type="paragraph" w:customStyle="1" w:styleId="11">
    <w:name w:val="样式1"/>
    <w:basedOn w:val="af2"/>
    <w:link w:val="1Char"/>
    <w:rsid w:val="009B11DE"/>
    <w:rPr>
      <w:rFonts w:ascii="楷体" w:eastAsia="楷体" w:hAnsi="楷体"/>
      <w:sz w:val="21"/>
    </w:rPr>
  </w:style>
  <w:style w:type="character" w:customStyle="1" w:styleId="1Char">
    <w:name w:val="样式1 Char"/>
    <w:link w:val="11"/>
    <w:rsid w:val="009B11DE"/>
    <w:rPr>
      <w:rFonts w:ascii="楷体" w:eastAsia="楷体" w:hAnsi="楷体" w:cs="Times New Roman"/>
      <w:sz w:val="21"/>
      <w:szCs w:val="18"/>
      <w14:ligatures w14:val="none"/>
    </w:rPr>
  </w:style>
  <w:style w:type="paragraph" w:styleId="af5">
    <w:name w:val="caption"/>
    <w:basedOn w:val="a"/>
    <w:next w:val="a"/>
    <w:qFormat/>
    <w:rsid w:val="009B11DE"/>
    <w:rPr>
      <w:rFonts w:ascii="Arial" w:eastAsia="黑体"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1380</Words>
  <Characters>7867</Characters>
  <Application>Microsoft Office Word</Application>
  <DocSecurity>0</DocSecurity>
  <Lines>65</Lines>
  <Paragraphs>18</Paragraphs>
  <ScaleCrop>false</ScaleCrop>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nomercy</dc:creator>
  <cp:keywords/>
  <dc:description/>
  <cp:lastModifiedBy>charles nomercy</cp:lastModifiedBy>
  <cp:revision>2</cp:revision>
  <dcterms:created xsi:type="dcterms:W3CDTF">2025-10-21T07:40:00Z</dcterms:created>
  <dcterms:modified xsi:type="dcterms:W3CDTF">2025-10-21T07:42:00Z</dcterms:modified>
</cp:coreProperties>
</file>