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7B21" w14:textId="5E9119C2" w:rsidR="008D0AC4" w:rsidRPr="0066147A" w:rsidRDefault="0066147A" w:rsidP="0066147A">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r w:rsidRPr="0066147A">
        <w:rPr>
          <w:rFonts w:ascii="黑体" w:eastAsia="黑体" w:hAnsi="Times New Roman" w:cs="Times New Roman" w:hint="eastAsia"/>
          <w:bCs/>
          <w:color w:val="auto"/>
          <w:sz w:val="44"/>
          <w:szCs w:val="44"/>
          <w14:ligatures w14:val="none"/>
        </w:rPr>
        <w:t>债券市场增信体系提高债券市场流动性的实证</w:t>
      </w:r>
      <w:r w:rsidR="00F73C08">
        <w:rPr>
          <w:rFonts w:ascii="黑体" w:eastAsia="黑体" w:hAnsi="Times New Roman" w:cs="Times New Roman" w:hint="eastAsia"/>
          <w:bCs/>
          <w:color w:val="auto"/>
          <w:sz w:val="44"/>
          <w:szCs w:val="44"/>
          <w14:ligatures w14:val="none"/>
        </w:rPr>
        <w:t>研究</w:t>
      </w:r>
    </w:p>
    <w:p w14:paraId="24D0BD50" w14:textId="77777777" w:rsidR="0066147A" w:rsidRDefault="0066147A">
      <w:pPr>
        <w:rPr>
          <w:b/>
          <w:bCs/>
        </w:rPr>
      </w:pPr>
    </w:p>
    <w:p w14:paraId="02A0E480" w14:textId="2A88A988" w:rsidR="0066147A" w:rsidRPr="0066147A" w:rsidRDefault="0066147A" w:rsidP="0066147A">
      <w:pPr>
        <w:spacing w:after="0" w:line="440" w:lineRule="exact"/>
        <w:jc w:val="both"/>
        <w:outlineLvl w:val="3"/>
        <w:rPr>
          <w:rFonts w:ascii="黑体" w:eastAsia="黑体" w:hAnsi="宋体" w:cs="Times New Roman"/>
          <w:sz w:val="24"/>
          <w14:ligatures w14:val="none"/>
        </w:rPr>
      </w:pPr>
      <w:bookmarkStart w:id="0" w:name="_Toc235718282"/>
      <w:bookmarkStart w:id="1" w:name="_Toc238701482"/>
      <w:bookmarkStart w:id="2" w:name="_Toc239689245"/>
      <w:r w:rsidRPr="0066147A">
        <w:rPr>
          <w:rFonts w:ascii="黑体" w:eastAsia="黑体" w:hAnsi="宋体" w:cs="Times New Roman" w:hint="eastAsia"/>
          <w:sz w:val="24"/>
          <w14:ligatures w14:val="none"/>
        </w:rPr>
        <w:t>一、</w:t>
      </w:r>
      <w:r w:rsidRPr="0066147A">
        <w:rPr>
          <w:rFonts w:ascii="黑体" w:eastAsia="黑体" w:hAnsi="宋体" w:cs="Times New Roman"/>
          <w:sz w:val="24"/>
          <w14:ligatures w14:val="none"/>
        </w:rPr>
        <w:t>债券增信与债券市场流动性：理论分析</w:t>
      </w:r>
      <w:bookmarkEnd w:id="0"/>
      <w:bookmarkEnd w:id="1"/>
      <w:bookmarkEnd w:id="2"/>
    </w:p>
    <w:p w14:paraId="716AB85F" w14:textId="28406864" w:rsidR="0066147A" w:rsidRPr="0066147A" w:rsidRDefault="0066147A" w:rsidP="0066147A">
      <w:pPr>
        <w:suppressAutoHyphens/>
        <w:spacing w:after="0" w:line="440" w:lineRule="atLeast"/>
        <w:ind w:firstLineChars="196" w:firstLine="470"/>
        <w:jc w:val="both"/>
        <w:rPr>
          <w:rFonts w:ascii="Times New Roman" w:eastAsia="新宋体" w:hAnsi="Times New Roman" w:cs="Times New Roman"/>
          <w:bCs/>
          <w:sz w:val="24"/>
          <w14:ligatures w14:val="none"/>
        </w:rPr>
      </w:pPr>
      <w:bookmarkStart w:id="3" w:name="_Toc235718283"/>
      <w:r w:rsidRPr="0066147A">
        <w:rPr>
          <w:rFonts w:ascii="Times New Roman" w:eastAsia="新宋体" w:hAnsi="Times New Roman" w:cs="Times New Roman" w:hint="eastAsia"/>
          <w:bCs/>
          <w:sz w:val="24"/>
          <w14:ligatures w14:val="none"/>
        </w:rPr>
        <w:t>1.</w:t>
      </w:r>
      <w:r w:rsidRPr="0066147A">
        <w:rPr>
          <w:rFonts w:ascii="Times New Roman" w:eastAsia="新宋体" w:hAnsi="Times New Roman" w:cs="Times New Roman"/>
          <w:bCs/>
          <w:sz w:val="24"/>
          <w14:ligatures w14:val="none"/>
        </w:rPr>
        <w:t>市场流动性的含义及流动性测度指标分类</w:t>
      </w:r>
      <w:bookmarkEnd w:id="3"/>
    </w:p>
    <w:p w14:paraId="2630055C" w14:textId="77777777" w:rsidR="0066147A" w:rsidRPr="0066147A" w:rsidRDefault="0066147A" w:rsidP="0066147A">
      <w:pPr>
        <w:spacing w:after="0" w:line="440" w:lineRule="atLeas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市场流动性</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Liquidity</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是指市场参与者能够迅速进行一定数量的金融交易</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并且不会导致金融资产价格发生显著波动的市场交易能力。从市场流动性的定义可以看出，一个市场的流动性体现在以下三个重要方面：</w:t>
      </w:r>
      <w:r w:rsidRPr="0066147A">
        <w:rPr>
          <w:rFonts w:ascii="Cambria Math" w:eastAsia="宋体" w:hAnsi="Cambria Math" w:cs="Cambria Math"/>
          <w:sz w:val="24"/>
          <w14:ligatures w14:val="none"/>
        </w:rPr>
        <w:t>①</w:t>
      </w:r>
      <w:r w:rsidRPr="0066147A">
        <w:rPr>
          <w:rFonts w:ascii="Times New Roman" w:eastAsia="宋体" w:hAnsi="Times New Roman" w:cs="Times New Roman"/>
          <w:sz w:val="24"/>
          <w14:ligatures w14:val="none"/>
        </w:rPr>
        <w:t>在时间上是否能够即时进行交易</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即流动性的时间维度；</w:t>
      </w:r>
      <w:r w:rsidRPr="0066147A">
        <w:rPr>
          <w:rFonts w:ascii="Cambria Math" w:eastAsia="宋体" w:hAnsi="Cambria Math" w:cs="Cambria Math"/>
          <w:sz w:val="24"/>
          <w14:ligatures w14:val="none"/>
        </w:rPr>
        <w:t>②</w:t>
      </w:r>
      <w:r w:rsidRPr="0066147A">
        <w:rPr>
          <w:rFonts w:ascii="Times New Roman" w:eastAsia="宋体" w:hAnsi="Times New Roman" w:cs="Times New Roman"/>
          <w:sz w:val="24"/>
          <w14:ligatures w14:val="none"/>
        </w:rPr>
        <w:t>交易成本的大小，即流动性的价格维度；</w:t>
      </w:r>
      <w:r w:rsidRPr="0066147A">
        <w:rPr>
          <w:rFonts w:ascii="Cambria Math" w:eastAsia="宋体" w:hAnsi="Cambria Math" w:cs="Cambria Math"/>
          <w:sz w:val="24"/>
          <w14:ligatures w14:val="none"/>
        </w:rPr>
        <w:t>③</w:t>
      </w:r>
      <w:r w:rsidRPr="0066147A">
        <w:rPr>
          <w:rFonts w:ascii="Times New Roman" w:eastAsia="宋体" w:hAnsi="Times New Roman" w:cs="Times New Roman"/>
          <w:sz w:val="24"/>
          <w14:ligatures w14:val="none"/>
        </w:rPr>
        <w:t>大量交易对价格的影响程度，即流动性的数量维度。流动性好的市场</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通常被认为即使是大交易量</w:t>
      </w:r>
      <w:r w:rsidRPr="0066147A">
        <w:rPr>
          <w:rFonts w:ascii="Times New Roman" w:eastAsia="宋体" w:hAnsi="Times New Roman" w:cs="Times New Roman"/>
          <w:sz w:val="24"/>
          <w14:ligatures w14:val="none"/>
        </w:rPr>
        <w:t>,</w:t>
      </w:r>
      <w:r w:rsidRPr="0066147A">
        <w:rPr>
          <w:rFonts w:ascii="Times New Roman" w:eastAsia="宋体" w:hAnsi="Times New Roman" w:cs="Times New Roman"/>
          <w:sz w:val="24"/>
          <w14:ligatures w14:val="none"/>
        </w:rPr>
        <w:t>也能够在市场上即时成交</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且不会导致价格的显著变动</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交易者为即时交易所付出的流动性溢价</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即交易成本较低的市场。</w:t>
      </w:r>
    </w:p>
    <w:p w14:paraId="1B4A53BF" w14:textId="77777777" w:rsidR="0066147A" w:rsidRPr="0066147A" w:rsidRDefault="0066147A" w:rsidP="0066147A">
      <w:pPr>
        <w:spacing w:after="0" w:line="440" w:lineRule="atLeas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根据</w:t>
      </w:r>
      <w:r w:rsidRPr="0066147A">
        <w:rPr>
          <w:rFonts w:ascii="Times New Roman" w:eastAsia="宋体" w:hAnsi="Times New Roman" w:cs="Times New Roman"/>
          <w:sz w:val="24"/>
          <w14:ligatures w14:val="none"/>
        </w:rPr>
        <w:t>Harris</w:t>
      </w:r>
      <w:r w:rsidRPr="0066147A">
        <w:rPr>
          <w:rFonts w:ascii="Times New Roman" w:eastAsia="宋体" w:hAnsi="Times New Roman" w:cs="Times New Roman"/>
          <w:sz w:val="24"/>
          <w14:ligatures w14:val="none"/>
        </w:rPr>
        <w:t>（</w:t>
      </w:r>
      <w:r w:rsidRPr="0066147A">
        <w:rPr>
          <w:rFonts w:ascii="Times New Roman" w:eastAsia="宋体" w:hAnsi="Times New Roman" w:cs="Times New Roman"/>
          <w:sz w:val="24"/>
          <w14:ligatures w14:val="none"/>
        </w:rPr>
        <w:t>1990</w:t>
      </w:r>
      <w:r w:rsidRPr="0066147A">
        <w:rPr>
          <w:rFonts w:ascii="Times New Roman" w:eastAsia="宋体" w:hAnsi="Times New Roman" w:cs="Times New Roman"/>
          <w:sz w:val="24"/>
          <w14:ligatures w14:val="none"/>
        </w:rPr>
        <w:t>）的观点，市场流动性</w:t>
      </w:r>
      <w:r w:rsidRPr="0066147A">
        <w:rPr>
          <w:rFonts w:ascii="Times New Roman" w:eastAsia="宋体" w:hAnsi="Times New Roman" w:cs="Times New Roman" w:hint="eastAsia"/>
          <w:sz w:val="24"/>
          <w14:ligatures w14:val="none"/>
        </w:rPr>
        <w:t>主要</w:t>
      </w:r>
      <w:r w:rsidRPr="0066147A">
        <w:rPr>
          <w:rFonts w:ascii="Times New Roman" w:eastAsia="宋体" w:hAnsi="Times New Roman" w:cs="Times New Roman"/>
          <w:sz w:val="24"/>
          <w14:ligatures w14:val="none"/>
        </w:rPr>
        <w:t>体现在四个方面：</w:t>
      </w:r>
      <w:r w:rsidRPr="0066147A">
        <w:rPr>
          <w:rFonts w:ascii="Cambria Math" w:eastAsia="宋体" w:hAnsi="Cambria Math" w:cs="Cambria Math"/>
          <w:sz w:val="24"/>
          <w14:ligatures w14:val="none"/>
        </w:rPr>
        <w:t>①</w:t>
      </w:r>
      <w:r w:rsidRPr="0066147A">
        <w:rPr>
          <w:rFonts w:ascii="Times New Roman" w:eastAsia="宋体" w:hAnsi="Times New Roman" w:cs="Times New Roman"/>
          <w:sz w:val="24"/>
          <w14:ligatures w14:val="none"/>
        </w:rPr>
        <w:t>市场宽度（</w:t>
      </w:r>
      <w:r w:rsidRPr="0066147A">
        <w:rPr>
          <w:rFonts w:ascii="Times New Roman" w:eastAsia="宋体" w:hAnsi="Times New Roman" w:cs="Times New Roman"/>
          <w:sz w:val="24"/>
          <w14:ligatures w14:val="none"/>
        </w:rPr>
        <w:t>Width</w:t>
      </w:r>
      <w:r w:rsidRPr="0066147A">
        <w:rPr>
          <w:rFonts w:ascii="Times New Roman" w:eastAsia="宋体" w:hAnsi="Times New Roman" w:cs="Times New Roman"/>
          <w:sz w:val="24"/>
          <w14:ligatures w14:val="none"/>
        </w:rPr>
        <w:t>），即交易价格偏离市场有效价格的程度，是投资者为快速获得流动性而支付的流动性升水，常用价差来表示，当价差为零时，市场达到完全的流动性，这是从价格维</w:t>
      </w:r>
      <w:proofErr w:type="gramStart"/>
      <w:r w:rsidRPr="0066147A">
        <w:rPr>
          <w:rFonts w:ascii="Times New Roman" w:eastAsia="宋体" w:hAnsi="Times New Roman" w:cs="Times New Roman"/>
          <w:sz w:val="24"/>
          <w14:ligatures w14:val="none"/>
        </w:rPr>
        <w:t>度反映</w:t>
      </w:r>
      <w:proofErr w:type="gramEnd"/>
      <w:r w:rsidRPr="0066147A">
        <w:rPr>
          <w:rFonts w:ascii="Times New Roman" w:eastAsia="宋体" w:hAnsi="Times New Roman" w:cs="Times New Roman"/>
          <w:sz w:val="24"/>
          <w14:ligatures w14:val="none"/>
        </w:rPr>
        <w:t>市场的流动性；</w:t>
      </w:r>
      <w:r w:rsidRPr="0066147A">
        <w:rPr>
          <w:rFonts w:ascii="Cambria Math" w:eastAsia="宋体" w:hAnsi="Cambria Math" w:cs="Cambria Math"/>
          <w:sz w:val="24"/>
          <w14:ligatures w14:val="none"/>
        </w:rPr>
        <w:t>②</w:t>
      </w:r>
      <w:r w:rsidRPr="0066147A">
        <w:rPr>
          <w:rFonts w:ascii="Times New Roman" w:eastAsia="宋体" w:hAnsi="Times New Roman" w:cs="Times New Roman"/>
          <w:sz w:val="24"/>
          <w14:ligatures w14:val="none"/>
        </w:rPr>
        <w:t>市场深度（</w:t>
      </w:r>
      <w:r w:rsidRPr="0066147A">
        <w:rPr>
          <w:rFonts w:ascii="Times New Roman" w:eastAsia="宋体" w:hAnsi="Times New Roman" w:cs="Times New Roman"/>
          <w:sz w:val="24"/>
          <w14:ligatures w14:val="none"/>
        </w:rPr>
        <w:t>Depth</w:t>
      </w:r>
      <w:r w:rsidRPr="0066147A">
        <w:rPr>
          <w:rFonts w:ascii="Times New Roman" w:eastAsia="宋体" w:hAnsi="Times New Roman" w:cs="Times New Roman"/>
          <w:sz w:val="24"/>
          <w14:ligatures w14:val="none"/>
        </w:rPr>
        <w:t>），即不影响当前交易价格的成交量，从市场深度层面分析，流动性好意味着在当前价格下投资者可以大量买入或抛出证券，</w:t>
      </w:r>
      <w:r w:rsidRPr="0066147A">
        <w:rPr>
          <w:rFonts w:ascii="Times New Roman" w:eastAsia="宋体" w:hAnsi="Times New Roman" w:cs="Times New Roman" w:hint="eastAsia"/>
          <w:sz w:val="24"/>
          <w14:ligatures w14:val="none"/>
        </w:rPr>
        <w:t>是</w:t>
      </w:r>
      <w:r w:rsidRPr="0066147A">
        <w:rPr>
          <w:rFonts w:ascii="Times New Roman" w:eastAsia="宋体" w:hAnsi="Times New Roman" w:cs="Times New Roman"/>
          <w:sz w:val="24"/>
          <w14:ligatures w14:val="none"/>
        </w:rPr>
        <w:t>从交易</w:t>
      </w:r>
      <w:proofErr w:type="gramStart"/>
      <w:r w:rsidRPr="0066147A">
        <w:rPr>
          <w:rFonts w:ascii="Times New Roman" w:eastAsia="宋体" w:hAnsi="Times New Roman" w:cs="Times New Roman"/>
          <w:sz w:val="24"/>
          <w14:ligatures w14:val="none"/>
        </w:rPr>
        <w:t>量维度反映</w:t>
      </w:r>
      <w:proofErr w:type="gramEnd"/>
      <w:r w:rsidRPr="0066147A">
        <w:rPr>
          <w:rFonts w:ascii="Times New Roman" w:eastAsia="宋体" w:hAnsi="Times New Roman" w:cs="Times New Roman"/>
          <w:sz w:val="24"/>
          <w14:ligatures w14:val="none"/>
        </w:rPr>
        <w:t>市场流动性；</w:t>
      </w:r>
      <w:r w:rsidRPr="0066147A">
        <w:rPr>
          <w:rFonts w:ascii="Cambria Math" w:eastAsia="宋体" w:hAnsi="Cambria Math" w:cs="Cambria Math"/>
          <w:sz w:val="24"/>
          <w14:ligatures w14:val="none"/>
        </w:rPr>
        <w:t>③</w:t>
      </w:r>
      <w:r w:rsidRPr="0066147A">
        <w:rPr>
          <w:rFonts w:ascii="Times New Roman" w:eastAsia="宋体" w:hAnsi="Times New Roman" w:cs="Times New Roman"/>
          <w:sz w:val="24"/>
          <w14:ligatures w14:val="none"/>
        </w:rPr>
        <w:t>市场弹性（</w:t>
      </w:r>
      <w:r w:rsidRPr="0066147A">
        <w:rPr>
          <w:rFonts w:ascii="Times New Roman" w:eastAsia="宋体" w:hAnsi="Times New Roman" w:cs="Times New Roman"/>
          <w:sz w:val="24"/>
          <w14:ligatures w14:val="none"/>
        </w:rPr>
        <w:t>Resiliency</w:t>
      </w:r>
      <w:r w:rsidRPr="0066147A">
        <w:rPr>
          <w:rFonts w:ascii="Times New Roman" w:eastAsia="宋体" w:hAnsi="Times New Roman" w:cs="Times New Roman"/>
          <w:sz w:val="24"/>
          <w14:ligatures w14:val="none"/>
        </w:rPr>
        <w:t>），即由交易引起的价格波动消失的速度，或者是委托簿上买单量与卖单量之间不平衡的调整速度；</w:t>
      </w:r>
      <w:r w:rsidRPr="0066147A">
        <w:rPr>
          <w:rFonts w:ascii="Cambria Math" w:eastAsia="宋体" w:hAnsi="Cambria Math" w:cs="Cambria Math"/>
          <w:sz w:val="24"/>
          <w14:ligatures w14:val="none"/>
        </w:rPr>
        <w:t>④</w:t>
      </w:r>
      <w:r w:rsidRPr="0066147A">
        <w:rPr>
          <w:rFonts w:ascii="Times New Roman" w:eastAsia="宋体" w:hAnsi="Times New Roman" w:cs="Times New Roman"/>
          <w:sz w:val="24"/>
          <w14:ligatures w14:val="none"/>
        </w:rPr>
        <w:t>市场及时性（</w:t>
      </w:r>
      <w:r w:rsidRPr="0066147A">
        <w:rPr>
          <w:rFonts w:ascii="Times New Roman" w:eastAsia="宋体" w:hAnsi="Times New Roman" w:cs="Times New Roman"/>
          <w:sz w:val="24"/>
          <w14:ligatures w14:val="none"/>
        </w:rPr>
        <w:t>Immediacy</w:t>
      </w:r>
      <w:r w:rsidRPr="0066147A">
        <w:rPr>
          <w:rFonts w:ascii="Times New Roman" w:eastAsia="宋体" w:hAnsi="Times New Roman" w:cs="Times New Roman"/>
          <w:sz w:val="24"/>
          <w14:ligatures w14:val="none"/>
        </w:rPr>
        <w:t>），即一定量的证券在对价格影响一定的条件下达成交易所需要的时间，这是从时间维</w:t>
      </w:r>
      <w:proofErr w:type="gramStart"/>
      <w:r w:rsidRPr="0066147A">
        <w:rPr>
          <w:rFonts w:ascii="Times New Roman" w:eastAsia="宋体" w:hAnsi="Times New Roman" w:cs="Times New Roman"/>
          <w:sz w:val="24"/>
          <w14:ligatures w14:val="none"/>
        </w:rPr>
        <w:t>度反映</w:t>
      </w:r>
      <w:proofErr w:type="gramEnd"/>
      <w:r w:rsidRPr="0066147A">
        <w:rPr>
          <w:rFonts w:ascii="Times New Roman" w:eastAsia="宋体" w:hAnsi="Times New Roman" w:cs="Times New Roman"/>
          <w:sz w:val="24"/>
          <w14:ligatures w14:val="none"/>
        </w:rPr>
        <w:t>市场的流动性。</w:t>
      </w:r>
    </w:p>
    <w:p w14:paraId="0D7B7824" w14:textId="77777777" w:rsidR="0066147A" w:rsidRPr="0066147A" w:rsidRDefault="0066147A" w:rsidP="0066147A">
      <w:pPr>
        <w:spacing w:after="0" w:line="440" w:lineRule="atLeast"/>
        <w:ind w:firstLineChars="200" w:firstLine="480"/>
        <w:jc w:val="both"/>
        <w:rPr>
          <w:rFonts w:ascii="Times New Roman" w:eastAsia="宋体" w:hAnsi="Times New Roman" w:cs="Times New Roman" w:hint="eastAsia"/>
          <w:sz w:val="24"/>
          <w14:ligatures w14:val="none"/>
        </w:rPr>
      </w:pPr>
      <w:r w:rsidRPr="0066147A">
        <w:rPr>
          <w:rFonts w:ascii="Times New Roman" w:eastAsia="宋体" w:hAnsi="Times New Roman" w:cs="Times New Roman"/>
          <w:sz w:val="24"/>
          <w14:ligatures w14:val="none"/>
        </w:rPr>
        <w:t>根据不同的市场交易制度，流动性测度指标可分成两大类，一类是基于报价驱动（</w:t>
      </w:r>
      <w:r w:rsidRPr="0066147A">
        <w:rPr>
          <w:rFonts w:ascii="Times New Roman" w:eastAsia="宋体" w:hAnsi="Times New Roman" w:cs="Times New Roman" w:hint="eastAsia"/>
          <w:sz w:val="24"/>
          <w14:ligatures w14:val="none"/>
        </w:rPr>
        <w:t>Q</w:t>
      </w:r>
      <w:r w:rsidRPr="0066147A">
        <w:rPr>
          <w:rFonts w:ascii="Times New Roman" w:eastAsia="宋体" w:hAnsi="Times New Roman" w:cs="Times New Roman"/>
          <w:sz w:val="24"/>
          <w14:ligatures w14:val="none"/>
        </w:rPr>
        <w:t>uote-</w:t>
      </w:r>
      <w:r w:rsidRPr="0066147A">
        <w:rPr>
          <w:rFonts w:ascii="Times New Roman" w:eastAsia="宋体" w:hAnsi="Times New Roman" w:cs="Times New Roman" w:hint="eastAsia"/>
          <w:sz w:val="24"/>
          <w14:ligatures w14:val="none"/>
        </w:rPr>
        <w:t>D</w:t>
      </w:r>
      <w:r w:rsidRPr="0066147A">
        <w:rPr>
          <w:rFonts w:ascii="Times New Roman" w:eastAsia="宋体" w:hAnsi="Times New Roman" w:cs="Times New Roman"/>
          <w:sz w:val="24"/>
          <w14:ligatures w14:val="none"/>
        </w:rPr>
        <w:t>riven</w:t>
      </w:r>
      <w:r w:rsidRPr="0066147A">
        <w:rPr>
          <w:rFonts w:ascii="Times New Roman" w:eastAsia="宋体" w:hAnsi="Times New Roman" w:cs="Times New Roman"/>
          <w:sz w:val="24"/>
          <w14:ligatures w14:val="none"/>
        </w:rPr>
        <w:t>）市场或做市商（</w:t>
      </w:r>
      <w:r w:rsidRPr="0066147A">
        <w:rPr>
          <w:rFonts w:ascii="Times New Roman" w:eastAsia="宋体" w:hAnsi="Times New Roman" w:cs="Times New Roman" w:hint="eastAsia"/>
          <w:sz w:val="24"/>
          <w14:ligatures w14:val="none"/>
        </w:rPr>
        <w:t>M</w:t>
      </w:r>
      <w:r w:rsidRPr="0066147A">
        <w:rPr>
          <w:rFonts w:ascii="Times New Roman" w:eastAsia="宋体" w:hAnsi="Times New Roman" w:cs="Times New Roman"/>
          <w:sz w:val="24"/>
          <w14:ligatures w14:val="none"/>
        </w:rPr>
        <w:t xml:space="preserve">arket </w:t>
      </w:r>
      <w:r w:rsidRPr="0066147A">
        <w:rPr>
          <w:rFonts w:ascii="Times New Roman" w:eastAsia="宋体" w:hAnsi="Times New Roman" w:cs="Times New Roman" w:hint="eastAsia"/>
          <w:sz w:val="24"/>
          <w14:ligatures w14:val="none"/>
        </w:rPr>
        <w:t>M</w:t>
      </w:r>
      <w:r w:rsidRPr="0066147A">
        <w:rPr>
          <w:rFonts w:ascii="Times New Roman" w:eastAsia="宋体" w:hAnsi="Times New Roman" w:cs="Times New Roman"/>
          <w:sz w:val="24"/>
          <w14:ligatures w14:val="none"/>
        </w:rPr>
        <w:t>aker</w:t>
      </w:r>
      <w:r w:rsidRPr="0066147A">
        <w:rPr>
          <w:rFonts w:ascii="Times New Roman" w:eastAsia="宋体" w:hAnsi="Times New Roman" w:cs="Times New Roman"/>
          <w:sz w:val="24"/>
          <w14:ligatures w14:val="none"/>
        </w:rPr>
        <w:t>）市场的流动性测度指标；另一类是基于指令驱动（</w:t>
      </w:r>
      <w:r w:rsidRPr="0066147A">
        <w:rPr>
          <w:rFonts w:ascii="Times New Roman" w:eastAsia="宋体" w:hAnsi="Times New Roman" w:cs="Times New Roman" w:hint="eastAsia"/>
          <w:sz w:val="24"/>
          <w14:ligatures w14:val="none"/>
        </w:rPr>
        <w:t>O</w:t>
      </w:r>
      <w:r w:rsidRPr="0066147A">
        <w:rPr>
          <w:rFonts w:ascii="Times New Roman" w:eastAsia="宋体" w:hAnsi="Times New Roman" w:cs="Times New Roman"/>
          <w:sz w:val="24"/>
          <w14:ligatures w14:val="none"/>
        </w:rPr>
        <w:t>rder-</w:t>
      </w:r>
      <w:r w:rsidRPr="0066147A">
        <w:rPr>
          <w:rFonts w:ascii="Times New Roman" w:eastAsia="宋体" w:hAnsi="Times New Roman" w:cs="Times New Roman" w:hint="eastAsia"/>
          <w:sz w:val="24"/>
          <w14:ligatures w14:val="none"/>
        </w:rPr>
        <w:t>D</w:t>
      </w:r>
      <w:r w:rsidRPr="0066147A">
        <w:rPr>
          <w:rFonts w:ascii="Times New Roman" w:eastAsia="宋体" w:hAnsi="Times New Roman" w:cs="Times New Roman"/>
          <w:sz w:val="24"/>
          <w14:ligatures w14:val="none"/>
        </w:rPr>
        <w:t>riven</w:t>
      </w:r>
      <w:r w:rsidRPr="0066147A">
        <w:rPr>
          <w:rFonts w:ascii="Times New Roman" w:eastAsia="宋体" w:hAnsi="Times New Roman" w:cs="Times New Roman"/>
          <w:sz w:val="24"/>
          <w14:ligatures w14:val="none"/>
        </w:rPr>
        <w:t>）市场或竞价市场（</w:t>
      </w:r>
      <w:r w:rsidRPr="0066147A">
        <w:rPr>
          <w:rFonts w:ascii="Times New Roman" w:eastAsia="宋体" w:hAnsi="Times New Roman" w:cs="Times New Roman" w:hint="eastAsia"/>
          <w:sz w:val="24"/>
          <w14:ligatures w14:val="none"/>
        </w:rPr>
        <w:t>A</w:t>
      </w:r>
      <w:r w:rsidRPr="0066147A">
        <w:rPr>
          <w:rFonts w:ascii="Times New Roman" w:eastAsia="宋体" w:hAnsi="Times New Roman" w:cs="Times New Roman"/>
          <w:sz w:val="24"/>
          <w14:ligatures w14:val="none"/>
        </w:rPr>
        <w:t xml:space="preserve">uction </w:t>
      </w:r>
      <w:r w:rsidRPr="0066147A">
        <w:rPr>
          <w:rFonts w:ascii="Times New Roman" w:eastAsia="宋体" w:hAnsi="Times New Roman" w:cs="Times New Roman" w:hint="eastAsia"/>
          <w:sz w:val="24"/>
          <w14:ligatures w14:val="none"/>
        </w:rPr>
        <w:t>M</w:t>
      </w:r>
      <w:r w:rsidRPr="0066147A">
        <w:rPr>
          <w:rFonts w:ascii="Times New Roman" w:eastAsia="宋体" w:hAnsi="Times New Roman" w:cs="Times New Roman"/>
          <w:sz w:val="24"/>
          <w14:ligatures w14:val="none"/>
        </w:rPr>
        <w:t>arket</w:t>
      </w:r>
      <w:r w:rsidRPr="0066147A">
        <w:rPr>
          <w:rFonts w:ascii="Times New Roman" w:eastAsia="宋体" w:hAnsi="Times New Roman" w:cs="Times New Roman"/>
          <w:sz w:val="24"/>
          <w14:ligatures w14:val="none"/>
        </w:rPr>
        <w:t>）的流动性测度指标。</w:t>
      </w:r>
    </w:p>
    <w:p w14:paraId="54BCC7EE" w14:textId="77777777" w:rsidR="0066147A" w:rsidRPr="0066147A" w:rsidRDefault="0066147A" w:rsidP="0066147A">
      <w:pPr>
        <w:spacing w:after="0" w:line="440" w:lineRule="atLeast"/>
        <w:ind w:firstLineChars="200" w:firstLine="480"/>
        <w:jc w:val="both"/>
        <w:rPr>
          <w:rFonts w:ascii="Times New Roman" w:eastAsia="宋体" w:hAnsi="Times New Roman" w:cs="Times New Roman" w:hint="eastAsia"/>
          <w:sz w:val="24"/>
          <w14:ligatures w14:val="none"/>
        </w:rPr>
      </w:pPr>
    </w:p>
    <w:p w14:paraId="694EE0E8" w14:textId="77777777" w:rsidR="0066147A" w:rsidRPr="0066147A" w:rsidRDefault="0066147A" w:rsidP="0066147A">
      <w:pPr>
        <w:spacing w:after="0" w:line="440" w:lineRule="atLeast"/>
        <w:ind w:firstLineChars="200" w:firstLine="480"/>
        <w:jc w:val="both"/>
        <w:rPr>
          <w:rFonts w:ascii="Times New Roman" w:eastAsia="宋体" w:hAnsi="Times New Roman" w:cs="Times New Roman" w:hint="eastAsia"/>
          <w:sz w:val="24"/>
          <w14:ligatures w14:val="none"/>
        </w:rPr>
      </w:pPr>
    </w:p>
    <w:p w14:paraId="12171042" w14:textId="77777777" w:rsidR="0066147A" w:rsidRPr="0066147A" w:rsidRDefault="0066147A" w:rsidP="0066147A">
      <w:pPr>
        <w:spacing w:after="0" w:line="440" w:lineRule="atLeast"/>
        <w:ind w:firstLineChars="200" w:firstLine="480"/>
        <w:jc w:val="both"/>
        <w:rPr>
          <w:rFonts w:ascii="Times New Roman" w:eastAsia="宋体" w:hAnsi="Times New Roman" w:cs="Times New Roman" w:hint="eastAsia"/>
          <w:sz w:val="24"/>
          <w14:ligatures w14:val="none"/>
        </w:rPr>
      </w:pPr>
    </w:p>
    <w:p w14:paraId="19D75DA4" w14:textId="77777777" w:rsidR="0066147A" w:rsidRPr="0066147A" w:rsidRDefault="0066147A" w:rsidP="0066147A">
      <w:pPr>
        <w:spacing w:after="0" w:line="440" w:lineRule="atLeast"/>
        <w:ind w:firstLineChars="200" w:firstLine="480"/>
        <w:jc w:val="both"/>
        <w:rPr>
          <w:rFonts w:ascii="Times New Roman" w:eastAsia="宋体" w:hAnsi="Times New Roman" w:cs="Times New Roman" w:hint="eastAsia"/>
          <w:sz w:val="24"/>
          <w14:ligatures w14:val="none"/>
        </w:rPr>
      </w:pPr>
    </w:p>
    <w:p w14:paraId="76300FC0" w14:textId="77777777" w:rsidR="0066147A" w:rsidRPr="0066147A" w:rsidRDefault="0066147A" w:rsidP="0066147A">
      <w:pPr>
        <w:spacing w:after="0" w:line="440" w:lineRule="atLeast"/>
        <w:ind w:firstLineChars="200" w:firstLine="480"/>
        <w:jc w:val="both"/>
        <w:rPr>
          <w:rFonts w:ascii="Times New Roman" w:eastAsia="宋体" w:hAnsi="Times New Roman" w:cs="Times New Roman" w:hint="eastAsia"/>
          <w:sz w:val="24"/>
          <w14:ligatures w14:val="none"/>
        </w:rPr>
      </w:pPr>
    </w:p>
    <w:p w14:paraId="2CD93B47" w14:textId="77777777" w:rsidR="0066147A" w:rsidRPr="0066147A" w:rsidRDefault="0066147A" w:rsidP="0066147A">
      <w:pPr>
        <w:spacing w:after="0" w:line="440" w:lineRule="atLeast"/>
        <w:ind w:firstLineChars="200" w:firstLine="480"/>
        <w:jc w:val="both"/>
        <w:rPr>
          <w:rFonts w:ascii="Times New Roman" w:eastAsia="宋体" w:hAnsi="Times New Roman" w:cs="Times New Roman" w:hint="eastAsia"/>
          <w:sz w:val="24"/>
          <w14:ligatures w14:val="none"/>
        </w:rPr>
      </w:pPr>
    </w:p>
    <w:p w14:paraId="24C3D675" w14:textId="54DD8E56" w:rsidR="0066147A" w:rsidRPr="0066147A" w:rsidRDefault="0066147A" w:rsidP="0066147A">
      <w:pPr>
        <w:spacing w:beforeLines="100" w:before="312" w:after="0" w:line="240" w:lineRule="auto"/>
        <w:jc w:val="center"/>
        <w:rPr>
          <w:rFonts w:ascii="Times New Roman" w:eastAsia="新宋体" w:hAnsi="新宋体" w:cs="Times New Roman" w:hint="eastAsia"/>
          <w:sz w:val="21"/>
          <w:szCs w:val="21"/>
          <w14:ligatures w14:val="none"/>
        </w:rPr>
      </w:pPr>
      <w:bookmarkStart w:id="4" w:name="_Toc246425333"/>
      <w:bookmarkStart w:id="5" w:name="_Toc256506404"/>
      <w:r w:rsidRPr="0066147A">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1</w:t>
      </w:r>
      <w:r w:rsidRPr="0066147A">
        <w:rPr>
          <w:rFonts w:ascii="Times New Roman" w:eastAsia="新宋体" w:hAnsi="新宋体" w:cs="Times New Roman" w:hint="eastAsia"/>
          <w:sz w:val="21"/>
          <w:szCs w:val="21"/>
          <w14:ligatures w14:val="none"/>
        </w:rPr>
        <w:t xml:space="preserve">  </w:t>
      </w:r>
      <w:r w:rsidRPr="0066147A">
        <w:rPr>
          <w:rFonts w:ascii="Times New Roman" w:eastAsia="新宋体" w:hAnsi="新宋体" w:cs="Times New Roman" w:hint="eastAsia"/>
          <w:sz w:val="21"/>
          <w:szCs w:val="21"/>
          <w14:ligatures w14:val="none"/>
        </w:rPr>
        <w:t>各种流动性度量指标的侧重点及使用范围</w:t>
      </w:r>
      <w:bookmarkEnd w:id="4"/>
      <w:bookmarkEnd w:id="5"/>
    </w:p>
    <w:p w14:paraId="0806FACF" w14:textId="6C47B288" w:rsidR="0066147A" w:rsidRPr="0066147A" w:rsidRDefault="0066147A" w:rsidP="0066147A">
      <w:pPr>
        <w:spacing w:after="0" w:line="240" w:lineRule="auto"/>
        <w:jc w:val="center"/>
        <w:rPr>
          <w:rFonts w:ascii="Times New Roman" w:eastAsia="宋体" w:hAnsi="Times New Roman" w:cs="Times New Roman" w:hint="eastAsia"/>
          <w:kern w:val="0"/>
          <w:sz w:val="21"/>
          <w:szCs w:val="21"/>
          <w14:ligatures w14:val="none"/>
        </w:rPr>
      </w:pPr>
      <w:r w:rsidRPr="0066147A">
        <w:rPr>
          <w:rFonts w:ascii="Times New Roman" w:eastAsia="宋体" w:hAnsi="Times New Roman" w:cs="Times New Roman" w:hint="eastAsia"/>
          <w:kern w:val="0"/>
          <w:sz w:val="21"/>
          <w:szCs w:val="21"/>
          <w14:ligatures w14:val="none"/>
        </w:rPr>
        <w:t xml:space="preserve">Table </w:t>
      </w:r>
      <w:proofErr w:type="gramStart"/>
      <w:r>
        <w:rPr>
          <w:rFonts w:ascii="Times New Roman" w:eastAsia="宋体" w:hAnsi="Times New Roman" w:cs="Times New Roman" w:hint="eastAsia"/>
          <w:kern w:val="0"/>
          <w:sz w:val="21"/>
          <w:szCs w:val="21"/>
          <w14:ligatures w14:val="none"/>
        </w:rPr>
        <w:t>1</w:t>
      </w:r>
      <w:r w:rsidRPr="0066147A">
        <w:rPr>
          <w:rFonts w:ascii="Times New Roman" w:eastAsia="宋体" w:hAnsi="Times New Roman" w:cs="Times New Roman" w:hint="eastAsia"/>
          <w:kern w:val="0"/>
          <w:sz w:val="21"/>
          <w:szCs w:val="21"/>
          <w14:ligatures w14:val="none"/>
        </w:rPr>
        <w:t xml:space="preserve">  P</w:t>
      </w:r>
      <w:r w:rsidRPr="0066147A">
        <w:rPr>
          <w:rFonts w:ascii="Times New Roman" w:eastAsia="宋体" w:hAnsi="Times New Roman" w:cs="Times New Roman"/>
          <w:kern w:val="0"/>
          <w:sz w:val="21"/>
          <w:szCs w:val="21"/>
          <w14:ligatures w14:val="none"/>
        </w:rPr>
        <w:t>oint</w:t>
      </w:r>
      <w:proofErr w:type="gramEnd"/>
      <w:r w:rsidRPr="0066147A">
        <w:rPr>
          <w:rFonts w:ascii="Times New Roman" w:eastAsia="宋体" w:hAnsi="Times New Roman" w:cs="Times New Roman"/>
          <w:kern w:val="0"/>
          <w:sz w:val="21"/>
          <w:szCs w:val="21"/>
          <w14:ligatures w14:val="none"/>
        </w:rPr>
        <w:t xml:space="preserve"> of emphasis</w:t>
      </w:r>
      <w:r w:rsidRPr="0066147A">
        <w:rPr>
          <w:rFonts w:ascii="Times New Roman" w:eastAsia="宋体" w:hAnsi="Times New Roman" w:cs="Times New Roman" w:hint="eastAsia"/>
          <w:kern w:val="0"/>
          <w:sz w:val="21"/>
          <w:szCs w:val="21"/>
          <w14:ligatures w14:val="none"/>
        </w:rPr>
        <w:t xml:space="preserve"> and s</w:t>
      </w:r>
      <w:r w:rsidRPr="0066147A">
        <w:rPr>
          <w:rFonts w:ascii="Times New Roman" w:eastAsia="宋体" w:hAnsi="Times New Roman" w:cs="Times New Roman"/>
          <w:kern w:val="0"/>
          <w:sz w:val="21"/>
          <w:szCs w:val="21"/>
          <w14:ligatures w14:val="none"/>
        </w:rPr>
        <w:t>cope of application</w:t>
      </w:r>
      <w:r w:rsidRPr="0066147A">
        <w:rPr>
          <w:rFonts w:ascii="Times New Roman" w:eastAsia="宋体" w:hAnsi="Times New Roman" w:cs="Times New Roman" w:hint="eastAsia"/>
          <w:kern w:val="0"/>
          <w:sz w:val="21"/>
          <w:szCs w:val="21"/>
          <w14:ligatures w14:val="none"/>
        </w:rPr>
        <w:t xml:space="preserve"> of m</w:t>
      </w:r>
      <w:r w:rsidRPr="0066147A">
        <w:rPr>
          <w:rFonts w:ascii="Times New Roman" w:eastAsia="宋体" w:hAnsi="Times New Roman" w:cs="Times New Roman"/>
          <w:kern w:val="0"/>
          <w:sz w:val="21"/>
          <w:szCs w:val="21"/>
          <w14:ligatures w14:val="none"/>
        </w:rPr>
        <w:t xml:space="preserve">easure </w:t>
      </w:r>
      <w:r w:rsidRPr="0066147A">
        <w:rPr>
          <w:rFonts w:ascii="Times New Roman" w:eastAsia="宋体" w:hAnsi="Times New Roman" w:cs="Times New Roman" w:hint="eastAsia"/>
          <w:kern w:val="0"/>
          <w:sz w:val="21"/>
          <w:szCs w:val="21"/>
          <w14:ligatures w14:val="none"/>
        </w:rPr>
        <w:t>i</w:t>
      </w:r>
      <w:r w:rsidRPr="0066147A">
        <w:rPr>
          <w:rFonts w:ascii="Times New Roman" w:eastAsia="宋体" w:hAnsi="Times New Roman" w:cs="Times New Roman"/>
          <w:kern w:val="0"/>
          <w:sz w:val="21"/>
          <w:szCs w:val="21"/>
          <w14:ligatures w14:val="none"/>
        </w:rPr>
        <w:t>ndex</w:t>
      </w:r>
      <w:r w:rsidRPr="0066147A">
        <w:rPr>
          <w:rFonts w:ascii="Times New Roman" w:eastAsia="宋体" w:hAnsi="Times New Roman" w:cs="Times New Roman" w:hint="eastAsia"/>
          <w:kern w:val="0"/>
          <w:sz w:val="21"/>
          <w:szCs w:val="21"/>
          <w14:ligatures w14:val="none"/>
        </w:rPr>
        <w:t xml:space="preserve">es of </w:t>
      </w:r>
      <w:r w:rsidRPr="0066147A">
        <w:rPr>
          <w:rFonts w:ascii="Times New Roman" w:eastAsia="宋体" w:hAnsi="Times New Roman" w:cs="Times New Roman"/>
          <w:kern w:val="0"/>
          <w:sz w:val="21"/>
          <w:szCs w:val="21"/>
          <w14:ligatures w14:val="none"/>
        </w:rPr>
        <w:t>liquidity</w:t>
      </w:r>
    </w:p>
    <w:tbl>
      <w:tblPr>
        <w:tblW w:w="0" w:type="auto"/>
        <w:tblBorders>
          <w:top w:val="single" w:sz="4" w:space="0" w:color="auto"/>
          <w:bottom w:val="single" w:sz="4" w:space="0" w:color="auto"/>
        </w:tblBorders>
        <w:tblLook w:val="01E0" w:firstRow="1" w:lastRow="1" w:firstColumn="1" w:lastColumn="1" w:noHBand="0" w:noVBand="0"/>
      </w:tblPr>
      <w:tblGrid>
        <w:gridCol w:w="2204"/>
        <w:gridCol w:w="2981"/>
        <w:gridCol w:w="1409"/>
        <w:gridCol w:w="1712"/>
      </w:tblGrid>
      <w:tr w:rsidR="0066147A" w:rsidRPr="0066147A" w14:paraId="2B677638" w14:textId="77777777" w:rsidTr="00DB24B0">
        <w:tc>
          <w:tcPr>
            <w:tcW w:w="2268" w:type="dxa"/>
            <w:tcBorders>
              <w:top w:val="single" w:sz="4" w:space="0" w:color="auto"/>
              <w:bottom w:val="single" w:sz="4" w:space="0" w:color="auto"/>
            </w:tcBorders>
            <w:vAlign w:val="center"/>
          </w:tcPr>
          <w:p w14:paraId="0ED08270"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21"/>
                <w:szCs w:val="21"/>
                <w14:ligatures w14:val="none"/>
              </w:rPr>
            </w:pPr>
            <w:r w:rsidRPr="0066147A">
              <w:rPr>
                <w:rFonts w:ascii="Times New Roman" w:eastAsia="宋体" w:hAnsi="Times New Roman" w:cs="Times New Roman"/>
                <w:sz w:val="21"/>
                <w:szCs w:val="21"/>
                <w14:ligatures w14:val="none"/>
              </w:rPr>
              <w:t>流动性指标</w:t>
            </w:r>
          </w:p>
        </w:tc>
        <w:tc>
          <w:tcPr>
            <w:tcW w:w="3060" w:type="dxa"/>
            <w:tcBorders>
              <w:top w:val="single" w:sz="4" w:space="0" w:color="auto"/>
              <w:bottom w:val="single" w:sz="4" w:space="0" w:color="auto"/>
            </w:tcBorders>
            <w:vAlign w:val="center"/>
          </w:tcPr>
          <w:p w14:paraId="7028AEBE"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21"/>
                <w:szCs w:val="21"/>
                <w14:ligatures w14:val="none"/>
              </w:rPr>
            </w:pPr>
            <w:r w:rsidRPr="0066147A">
              <w:rPr>
                <w:rFonts w:ascii="Times New Roman" w:eastAsia="宋体" w:hAnsi="Times New Roman" w:cs="Times New Roman"/>
                <w:sz w:val="21"/>
                <w:szCs w:val="21"/>
                <w14:ligatures w14:val="none"/>
              </w:rPr>
              <w:t>具体指标</w:t>
            </w:r>
          </w:p>
        </w:tc>
        <w:tc>
          <w:tcPr>
            <w:tcW w:w="1440" w:type="dxa"/>
            <w:tcBorders>
              <w:top w:val="single" w:sz="4" w:space="0" w:color="auto"/>
              <w:bottom w:val="single" w:sz="4" w:space="0" w:color="auto"/>
            </w:tcBorders>
            <w:vAlign w:val="center"/>
          </w:tcPr>
          <w:p w14:paraId="63C4A7BB"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21"/>
                <w:szCs w:val="21"/>
                <w14:ligatures w14:val="none"/>
              </w:rPr>
            </w:pPr>
            <w:r w:rsidRPr="0066147A">
              <w:rPr>
                <w:rFonts w:ascii="Times New Roman" w:eastAsia="宋体" w:hAnsi="Times New Roman" w:cs="Times New Roman"/>
                <w:sz w:val="21"/>
                <w:szCs w:val="21"/>
                <w14:ligatures w14:val="none"/>
              </w:rPr>
              <w:t>侧重点</w:t>
            </w:r>
          </w:p>
        </w:tc>
        <w:tc>
          <w:tcPr>
            <w:tcW w:w="1754" w:type="dxa"/>
            <w:tcBorders>
              <w:top w:val="single" w:sz="4" w:space="0" w:color="auto"/>
              <w:bottom w:val="single" w:sz="4" w:space="0" w:color="auto"/>
            </w:tcBorders>
            <w:vAlign w:val="center"/>
          </w:tcPr>
          <w:p w14:paraId="0A63A2C1"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21"/>
                <w:szCs w:val="21"/>
                <w14:ligatures w14:val="none"/>
              </w:rPr>
            </w:pPr>
            <w:r w:rsidRPr="0066147A">
              <w:rPr>
                <w:rFonts w:ascii="Times New Roman" w:eastAsia="宋体" w:hAnsi="Times New Roman" w:cs="Times New Roman"/>
                <w:sz w:val="21"/>
                <w:szCs w:val="21"/>
                <w14:ligatures w14:val="none"/>
              </w:rPr>
              <w:t>适用的交易制度</w:t>
            </w:r>
          </w:p>
        </w:tc>
      </w:tr>
      <w:tr w:rsidR="0066147A" w:rsidRPr="0066147A" w14:paraId="4B1AA702" w14:textId="77777777" w:rsidTr="00DB24B0">
        <w:tc>
          <w:tcPr>
            <w:tcW w:w="2268" w:type="dxa"/>
            <w:tcBorders>
              <w:top w:val="single" w:sz="4" w:space="0" w:color="auto"/>
            </w:tcBorders>
            <w:vAlign w:val="center"/>
          </w:tcPr>
          <w:p w14:paraId="3B2F0D59"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价差指标</w:t>
            </w:r>
          </w:p>
        </w:tc>
        <w:tc>
          <w:tcPr>
            <w:tcW w:w="3060" w:type="dxa"/>
            <w:tcBorders>
              <w:top w:val="single" w:sz="4" w:space="0" w:color="auto"/>
            </w:tcBorders>
            <w:vAlign w:val="center"/>
          </w:tcPr>
          <w:p w14:paraId="171FE25B"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有效价差、实现价差、定位价差、对数价差</w:t>
            </w:r>
          </w:p>
        </w:tc>
        <w:tc>
          <w:tcPr>
            <w:tcW w:w="1440" w:type="dxa"/>
            <w:tcBorders>
              <w:top w:val="single" w:sz="4" w:space="0" w:color="auto"/>
            </w:tcBorders>
            <w:vAlign w:val="center"/>
          </w:tcPr>
          <w:p w14:paraId="3D3B7A6D"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宽度</w:t>
            </w:r>
          </w:p>
        </w:tc>
        <w:tc>
          <w:tcPr>
            <w:tcW w:w="1754" w:type="dxa"/>
            <w:tcBorders>
              <w:top w:val="single" w:sz="4" w:space="0" w:color="auto"/>
            </w:tcBorders>
            <w:vAlign w:val="center"/>
          </w:tcPr>
          <w:p w14:paraId="2DD4785F"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做市商</w:t>
            </w:r>
          </w:p>
        </w:tc>
      </w:tr>
      <w:tr w:rsidR="0066147A" w:rsidRPr="0066147A" w14:paraId="211FD97F" w14:textId="77777777" w:rsidTr="00DB24B0">
        <w:tc>
          <w:tcPr>
            <w:tcW w:w="2268" w:type="dxa"/>
            <w:vAlign w:val="center"/>
          </w:tcPr>
          <w:p w14:paraId="5885D10A"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交易对价格冲击为基础的流动性衡量方法</w:t>
            </w:r>
          </w:p>
        </w:tc>
        <w:tc>
          <w:tcPr>
            <w:tcW w:w="3060" w:type="dxa"/>
            <w:vAlign w:val="center"/>
          </w:tcPr>
          <w:p w14:paraId="20B15A41"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lang w:val="de-DE"/>
                <w14:ligatures w14:val="none"/>
              </w:rPr>
            </w:pPr>
            <w:r w:rsidRPr="0066147A">
              <w:rPr>
                <w:rFonts w:ascii="Times New Roman" w:eastAsia="宋体" w:hAnsi="Times New Roman" w:cs="Times New Roman"/>
                <w:sz w:val="18"/>
                <w:szCs w:val="18"/>
                <w:lang w:val="de-DE"/>
                <w14:ligatures w14:val="none"/>
              </w:rPr>
              <w:t>Kyle</w:t>
            </w:r>
            <w:r w:rsidRPr="0066147A">
              <w:rPr>
                <w:rFonts w:ascii="Times New Roman" w:eastAsia="宋体" w:hAnsi="Times New Roman" w:cs="Times New Roman"/>
                <w:sz w:val="18"/>
                <w:szCs w:val="18"/>
                <w14:ligatures w14:val="none"/>
              </w:rPr>
              <w:t>模型、</w:t>
            </w:r>
            <w:r w:rsidRPr="0066147A">
              <w:rPr>
                <w:rFonts w:ascii="Times New Roman" w:eastAsia="宋体" w:hAnsi="Times New Roman" w:cs="Times New Roman"/>
                <w:sz w:val="18"/>
                <w:szCs w:val="18"/>
                <w:lang w:val="de-DE"/>
                <w14:ligatures w14:val="none"/>
              </w:rPr>
              <w:t>Glosten-Harris</w:t>
            </w:r>
            <w:r w:rsidRPr="0066147A">
              <w:rPr>
                <w:rFonts w:ascii="Times New Roman" w:eastAsia="宋体" w:hAnsi="Times New Roman" w:cs="Times New Roman"/>
                <w:sz w:val="18"/>
                <w:szCs w:val="18"/>
                <w14:ligatures w14:val="none"/>
              </w:rPr>
              <w:t>模型等</w:t>
            </w:r>
          </w:p>
        </w:tc>
        <w:tc>
          <w:tcPr>
            <w:tcW w:w="1440" w:type="dxa"/>
            <w:vAlign w:val="center"/>
          </w:tcPr>
          <w:p w14:paraId="4EE03F7C"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宽度、深度</w:t>
            </w:r>
          </w:p>
        </w:tc>
        <w:tc>
          <w:tcPr>
            <w:tcW w:w="1754" w:type="dxa"/>
            <w:vAlign w:val="center"/>
          </w:tcPr>
          <w:p w14:paraId="0BF06A04"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指令驱动、做市商</w:t>
            </w:r>
          </w:p>
        </w:tc>
      </w:tr>
      <w:tr w:rsidR="0066147A" w:rsidRPr="0066147A" w14:paraId="57DC2926" w14:textId="77777777" w:rsidTr="00DB24B0">
        <w:tc>
          <w:tcPr>
            <w:tcW w:w="2268" w:type="dxa"/>
            <w:vAlign w:val="center"/>
          </w:tcPr>
          <w:p w14:paraId="5DE79FE5"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以流动比率为基础的流动性衡量方法</w:t>
            </w:r>
          </w:p>
        </w:tc>
        <w:tc>
          <w:tcPr>
            <w:tcW w:w="3060" w:type="dxa"/>
            <w:vAlign w:val="center"/>
          </w:tcPr>
          <w:p w14:paraId="19EE0E54"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proofErr w:type="spellStart"/>
            <w:r w:rsidRPr="0066147A">
              <w:rPr>
                <w:rFonts w:ascii="Times New Roman" w:eastAsia="宋体" w:hAnsi="Times New Roman" w:cs="Times New Roman"/>
                <w:sz w:val="18"/>
                <w:szCs w:val="18"/>
                <w14:ligatures w14:val="none"/>
              </w:rPr>
              <w:t>Amivest</w:t>
            </w:r>
            <w:proofErr w:type="spellEnd"/>
            <w:r w:rsidRPr="0066147A">
              <w:rPr>
                <w:rFonts w:ascii="Times New Roman" w:eastAsia="宋体" w:hAnsi="Times New Roman" w:cs="Times New Roman"/>
                <w:sz w:val="18"/>
                <w:szCs w:val="18"/>
                <w14:ligatures w14:val="none"/>
              </w:rPr>
              <w:t>流动性比率、</w:t>
            </w:r>
            <w:r w:rsidRPr="0066147A">
              <w:rPr>
                <w:rFonts w:ascii="Times New Roman" w:eastAsia="宋体" w:hAnsi="Times New Roman" w:cs="Times New Roman"/>
                <w:sz w:val="18"/>
                <w:szCs w:val="18"/>
                <w14:ligatures w14:val="none"/>
              </w:rPr>
              <w:t>Martin</w:t>
            </w:r>
            <w:r w:rsidRPr="0066147A">
              <w:rPr>
                <w:rFonts w:ascii="Times New Roman" w:eastAsia="宋体" w:hAnsi="Times New Roman" w:cs="Times New Roman"/>
                <w:sz w:val="18"/>
                <w:szCs w:val="18"/>
                <w14:ligatures w14:val="none"/>
              </w:rPr>
              <w:t>指标、</w:t>
            </w:r>
            <w:r w:rsidRPr="0066147A">
              <w:rPr>
                <w:rFonts w:ascii="Times New Roman" w:eastAsia="宋体" w:hAnsi="Times New Roman" w:cs="Times New Roman"/>
                <w:sz w:val="18"/>
                <w:szCs w:val="18"/>
                <w14:ligatures w14:val="none"/>
              </w:rPr>
              <w:t>Hui-Heubel</w:t>
            </w:r>
            <w:r w:rsidRPr="0066147A">
              <w:rPr>
                <w:rFonts w:ascii="Times New Roman" w:eastAsia="宋体" w:hAnsi="Times New Roman" w:cs="Times New Roman"/>
                <w:sz w:val="18"/>
                <w:szCs w:val="18"/>
                <w14:ligatures w14:val="none"/>
              </w:rPr>
              <w:t>指标、</w:t>
            </w:r>
            <w:r w:rsidRPr="0066147A">
              <w:rPr>
                <w:rFonts w:ascii="Times New Roman" w:eastAsia="宋体" w:hAnsi="Times New Roman" w:cs="Times New Roman"/>
                <w:sz w:val="18"/>
                <w:szCs w:val="18"/>
                <w14:ligatures w14:val="none"/>
              </w:rPr>
              <w:t>Marsh-Rock</w:t>
            </w:r>
            <w:r w:rsidRPr="0066147A">
              <w:rPr>
                <w:rFonts w:ascii="Times New Roman" w:eastAsia="宋体" w:hAnsi="Times New Roman" w:cs="Times New Roman"/>
                <w:sz w:val="18"/>
                <w:szCs w:val="18"/>
                <w14:ligatures w14:val="none"/>
              </w:rPr>
              <w:t>指标</w:t>
            </w:r>
          </w:p>
        </w:tc>
        <w:tc>
          <w:tcPr>
            <w:tcW w:w="1440" w:type="dxa"/>
            <w:vAlign w:val="center"/>
          </w:tcPr>
          <w:p w14:paraId="5CA862D6"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宽度、深度、弹性</w:t>
            </w:r>
          </w:p>
        </w:tc>
        <w:tc>
          <w:tcPr>
            <w:tcW w:w="1754" w:type="dxa"/>
            <w:vAlign w:val="center"/>
          </w:tcPr>
          <w:p w14:paraId="42E4A008"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指令驱动、做市商</w:t>
            </w:r>
          </w:p>
        </w:tc>
      </w:tr>
      <w:tr w:rsidR="0066147A" w:rsidRPr="0066147A" w14:paraId="3AB31A52" w14:textId="77777777" w:rsidTr="00DB24B0">
        <w:tc>
          <w:tcPr>
            <w:tcW w:w="2268" w:type="dxa"/>
            <w:vAlign w:val="center"/>
          </w:tcPr>
          <w:p w14:paraId="34237344"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基于时间的流动性度量</w:t>
            </w:r>
          </w:p>
        </w:tc>
        <w:tc>
          <w:tcPr>
            <w:tcW w:w="3060" w:type="dxa"/>
            <w:vAlign w:val="center"/>
          </w:tcPr>
          <w:p w14:paraId="4F09D716"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方差比率、成交比率</w:t>
            </w:r>
          </w:p>
        </w:tc>
        <w:tc>
          <w:tcPr>
            <w:tcW w:w="1440" w:type="dxa"/>
            <w:vAlign w:val="center"/>
          </w:tcPr>
          <w:p w14:paraId="478D4999"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及时性</w:t>
            </w:r>
          </w:p>
        </w:tc>
        <w:tc>
          <w:tcPr>
            <w:tcW w:w="1754" w:type="dxa"/>
            <w:vAlign w:val="center"/>
          </w:tcPr>
          <w:p w14:paraId="124D4DEC" w14:textId="77777777" w:rsidR="0066147A" w:rsidRPr="0066147A" w:rsidRDefault="0066147A" w:rsidP="0066147A">
            <w:pPr>
              <w:adjustRightInd w:val="0"/>
              <w:snapToGrid w:val="0"/>
              <w:spacing w:after="0" w:line="300" w:lineRule="exact"/>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指令驱动、做市商</w:t>
            </w:r>
          </w:p>
        </w:tc>
      </w:tr>
    </w:tbl>
    <w:p w14:paraId="04058F7D" w14:textId="77777777" w:rsidR="0066147A" w:rsidRPr="0066147A" w:rsidRDefault="0066147A" w:rsidP="0066147A">
      <w:pPr>
        <w:spacing w:beforeLines="100" w:before="312"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从国内外既有的研究成果来看，尚未发现单个流动性测度指标可以完整地描述</w:t>
      </w:r>
      <w:r w:rsidRPr="0066147A">
        <w:rPr>
          <w:rFonts w:ascii="Times New Roman" w:eastAsia="宋体" w:hAnsi="Times New Roman" w:cs="Times New Roman" w:hint="eastAsia"/>
          <w:sz w:val="24"/>
          <w14:ligatures w14:val="none"/>
        </w:rPr>
        <w:t>债券</w:t>
      </w:r>
      <w:r w:rsidRPr="0066147A">
        <w:rPr>
          <w:rFonts w:ascii="Times New Roman" w:eastAsia="宋体" w:hAnsi="Times New Roman" w:cs="Times New Roman"/>
          <w:sz w:val="24"/>
          <w14:ligatures w14:val="none"/>
        </w:rPr>
        <w:t>市场流动性变化。这些指标之间存在一定的相关性，分别从不同角度衡量市场流动性的三个方面。从理论界的研究来看，对宽度和深度的研究最多。</w:t>
      </w:r>
    </w:p>
    <w:p w14:paraId="645E5DC3" w14:textId="651C246B" w:rsidR="0066147A" w:rsidRPr="0066147A" w:rsidRDefault="0066147A" w:rsidP="0066147A">
      <w:pPr>
        <w:suppressAutoHyphens/>
        <w:spacing w:after="0" w:line="440" w:lineRule="exact"/>
        <w:ind w:firstLineChars="196" w:firstLine="470"/>
        <w:jc w:val="both"/>
        <w:rPr>
          <w:rFonts w:ascii="Times New Roman" w:eastAsia="新宋体" w:hAnsi="Times New Roman" w:cs="Times New Roman"/>
          <w:bCs/>
          <w:sz w:val="24"/>
          <w14:ligatures w14:val="none"/>
        </w:rPr>
      </w:pPr>
      <w:bookmarkStart w:id="6" w:name="_Toc235718284"/>
      <w:r w:rsidRPr="0066147A">
        <w:rPr>
          <w:rFonts w:ascii="Times New Roman" w:eastAsia="新宋体" w:hAnsi="Times New Roman" w:cs="Times New Roman" w:hint="eastAsia"/>
          <w:bCs/>
          <w:sz w:val="24"/>
          <w14:ligatures w14:val="none"/>
        </w:rPr>
        <w:t>2.</w:t>
      </w:r>
      <w:r w:rsidRPr="0066147A">
        <w:rPr>
          <w:rFonts w:ascii="Times New Roman" w:eastAsia="新宋体" w:hAnsi="Times New Roman" w:cs="Times New Roman"/>
          <w:bCs/>
          <w:sz w:val="24"/>
          <w14:ligatures w14:val="none"/>
        </w:rPr>
        <w:t>债券担保机制影响债券市场流动性的机理分析</w:t>
      </w:r>
      <w:bookmarkEnd w:id="6"/>
    </w:p>
    <w:p w14:paraId="133FFA41" w14:textId="77777777" w:rsidR="0066147A" w:rsidRPr="0066147A" w:rsidRDefault="0066147A" w:rsidP="0066147A">
      <w:pPr>
        <w:spacing w:after="0" w:line="440" w:lineRule="exact"/>
        <w:ind w:firstLineChars="200" w:firstLine="480"/>
        <w:jc w:val="both"/>
        <w:rPr>
          <w:rFonts w:ascii="Times New Roman" w:eastAsia="宋体" w:hAnsi="Times New Roman" w:cs="Times New Roman" w:hint="eastAsia"/>
          <w:sz w:val="24"/>
          <w14:ligatures w14:val="none"/>
        </w:rPr>
      </w:pPr>
      <w:r w:rsidRPr="0066147A">
        <w:rPr>
          <w:rFonts w:ascii="Times New Roman" w:eastAsia="宋体" w:hAnsi="Times New Roman" w:cs="Times New Roman"/>
          <w:sz w:val="24"/>
          <w14:ligatures w14:val="none"/>
        </w:rPr>
        <w:t>债券增信后，债券的信用水平得到提升，相应的债券级别高于或等于</w:t>
      </w:r>
      <w:r w:rsidRPr="0066147A">
        <w:rPr>
          <w:rFonts w:ascii="Times New Roman" w:eastAsia="宋体" w:hAnsi="Times New Roman" w:cs="Times New Roman" w:hint="eastAsia"/>
          <w:sz w:val="24"/>
          <w14:ligatures w14:val="none"/>
        </w:rPr>
        <w:t>发行人</w:t>
      </w:r>
      <w:r w:rsidRPr="0066147A">
        <w:rPr>
          <w:rFonts w:ascii="Times New Roman" w:eastAsia="宋体" w:hAnsi="Times New Roman" w:cs="Times New Roman"/>
          <w:sz w:val="24"/>
          <w14:ligatures w14:val="none"/>
        </w:rPr>
        <w:t>的主体级别。债券增信后，债券的偿债能力有了进一步的保障，使得债券的信用风险降低。债券增信后对债券市场流动性影响可能存在两种可能：当某只债券的信用等级从原先的低信用等级上升到投资者认可的信用等级后，投资者购买该债券的概率将增加，此时该债券的市场流动性将加大；当某只债券的信用等级从原先的已经处于较高级别水平上升到更高信用等级时，在原先信用水平上，该债券尽管尚存在一定的信用风险，但投资者买卖交易的频率并不低，增信后</w:t>
      </w:r>
      <w:r w:rsidRPr="0066147A">
        <w:rPr>
          <w:rFonts w:ascii="Times New Roman" w:eastAsia="宋体" w:hAnsi="Times New Roman" w:cs="Times New Roman" w:hint="eastAsia"/>
          <w:sz w:val="24"/>
          <w14:ligatures w14:val="none"/>
        </w:rPr>
        <w:t>该</w:t>
      </w:r>
      <w:r w:rsidRPr="0066147A">
        <w:rPr>
          <w:rFonts w:ascii="Times New Roman" w:eastAsia="宋体" w:hAnsi="Times New Roman" w:cs="Times New Roman"/>
          <w:sz w:val="24"/>
          <w14:ligatures w14:val="none"/>
        </w:rPr>
        <w:t>债券的信用风险进一步被分散，投资者认为该债券偿债风险极低，并将该债券长期持有，使得债券的市场流动性降低。</w:t>
      </w:r>
    </w:p>
    <w:p w14:paraId="1DB2F954" w14:textId="590A1CB8" w:rsidR="0066147A" w:rsidRPr="0066147A" w:rsidRDefault="0066147A" w:rsidP="0066147A">
      <w:pPr>
        <w:spacing w:after="0" w:line="440" w:lineRule="exact"/>
        <w:jc w:val="both"/>
        <w:outlineLvl w:val="3"/>
        <w:rPr>
          <w:rFonts w:ascii="黑体" w:eastAsia="黑体" w:hAnsi="宋体" w:cs="Times New Roman"/>
          <w:sz w:val="24"/>
          <w14:ligatures w14:val="none"/>
        </w:rPr>
      </w:pPr>
      <w:r w:rsidRPr="0066147A">
        <w:rPr>
          <w:rFonts w:ascii="黑体" w:eastAsia="黑体" w:hAnsi="宋体" w:cs="Times New Roman" w:hint="eastAsia"/>
          <w:sz w:val="24"/>
          <w14:ligatures w14:val="none"/>
        </w:rPr>
        <w:t>二、</w:t>
      </w:r>
      <w:r w:rsidRPr="0066147A">
        <w:rPr>
          <w:rFonts w:ascii="黑体" w:eastAsia="黑体" w:hAnsi="宋体" w:cs="Times New Roman" w:hint="eastAsia"/>
          <w:sz w:val="24"/>
          <w14:ligatures w14:val="none"/>
        </w:rPr>
        <w:t>流动性实证模型的构建</w:t>
      </w:r>
    </w:p>
    <w:p w14:paraId="253241E2" w14:textId="77C00CAB"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基于价差指标无法作为流动性指标衡量指令驱动交易制度债券市场的流动性水平，而及时性和弹性指标用于我国债券市场流动性水平的研究较少，因此，笔者采用</w:t>
      </w:r>
      <w:r w:rsidRPr="0066147A">
        <w:rPr>
          <w:rFonts w:ascii="Times New Roman" w:eastAsia="宋体" w:hAnsi="Times New Roman" w:cs="Times New Roman"/>
          <w:position w:val="-6"/>
          <w:sz w:val="24"/>
          <w14:ligatures w14:val="none"/>
        </w:rPr>
        <w:object w:dxaOrig="859" w:dyaOrig="279" w14:anchorId="5FEDB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5" type="#_x0000_t75" style="width:43pt;height:14pt" o:ole="">
            <v:imagedata r:id="rId6" o:title=""/>
          </v:shape>
          <o:OLEObject Type="Embed" ProgID="Equation.DSMT4" ShapeID="_x0000_i1385" DrawAspect="Content" ObjectID="_1822569209" r:id="rId7"/>
        </w:object>
      </w:r>
      <w:r w:rsidRPr="0066147A">
        <w:rPr>
          <w:rFonts w:ascii="Times New Roman" w:eastAsia="宋体" w:hAnsi="Times New Roman" w:cs="Times New Roman"/>
          <w:sz w:val="24"/>
          <w14:ligatures w14:val="none"/>
        </w:rPr>
        <w:t>流动性比率衡量债券的流动性水平。</w:t>
      </w:r>
    </w:p>
    <w:p w14:paraId="141648BB" w14:textId="77777777" w:rsidR="0066147A" w:rsidRPr="0066147A" w:rsidRDefault="0066147A" w:rsidP="0066147A">
      <w:pPr>
        <w:spacing w:after="0" w:line="360" w:lineRule="auto"/>
        <w:ind w:firstLineChars="200" w:firstLine="480"/>
        <w:jc w:val="both"/>
        <w:rPr>
          <w:rFonts w:ascii="Times New Roman" w:eastAsia="仿宋_GB2312" w:hAnsi="Times New Roman" w:cs="Times New Roman"/>
          <w:sz w:val="24"/>
          <w14:ligatures w14:val="none"/>
        </w:rPr>
      </w:pPr>
      <w:r w:rsidRPr="0066147A">
        <w:rPr>
          <w:rFonts w:ascii="Times New Roman" w:eastAsia="仿宋_GB2312" w:hAnsi="Times New Roman" w:cs="Times New Roman"/>
          <w:position w:val="-60"/>
          <w:sz w:val="24"/>
          <w14:ligatures w14:val="none"/>
        </w:rPr>
        <w:object w:dxaOrig="2299" w:dyaOrig="1320" w14:anchorId="3D6DD07D">
          <v:shape id="_x0000_i1386" type="#_x0000_t75" style="width:115pt;height:66pt" o:ole="">
            <v:imagedata r:id="rId8" o:title=""/>
          </v:shape>
          <o:OLEObject Type="Embed" ProgID="Equation.DSMT4" ShapeID="_x0000_i1386" DrawAspect="Content" ObjectID="_1822569210" r:id="rId9"/>
        </w:object>
      </w:r>
      <w:r w:rsidRPr="0066147A">
        <w:rPr>
          <w:rFonts w:ascii="Times New Roman" w:eastAsia="仿宋_GB2312" w:hAnsi="Times New Roman" w:cs="Times New Roman"/>
          <w:sz w:val="24"/>
          <w14:ligatures w14:val="none"/>
        </w:rPr>
        <w:t xml:space="preserve">                         </w:t>
      </w:r>
      <w:r w:rsidRPr="0066147A">
        <w:rPr>
          <w:rFonts w:ascii="Times New Roman" w:eastAsia="仿宋_GB2312" w:hAnsi="Times New Roman" w:cs="Times New Roman" w:hint="eastAsia"/>
          <w:sz w:val="24"/>
          <w14:ligatures w14:val="none"/>
        </w:rPr>
        <w:t xml:space="preserve">             </w:t>
      </w:r>
      <w:r w:rsidRPr="0066147A">
        <w:rPr>
          <w:rFonts w:ascii="Times New Roman" w:eastAsia="仿宋_GB2312" w:hAnsi="Times New Roman" w:cs="Times New Roman"/>
          <w:sz w:val="24"/>
          <w14:ligatures w14:val="none"/>
        </w:rPr>
        <w:t xml:space="preserve">  </w:t>
      </w:r>
      <w:r w:rsidRPr="0066147A">
        <w:rPr>
          <w:rFonts w:ascii="Times New Roman" w:eastAsia="新宋体" w:hAnsi="Times New Roman" w:cs="Times New Roman"/>
          <w:sz w:val="24"/>
          <w14:ligatures w14:val="none"/>
        </w:rPr>
        <w:t>（</w:t>
      </w:r>
      <w:r w:rsidRPr="0066147A">
        <w:rPr>
          <w:rFonts w:ascii="Times New Roman" w:eastAsia="新宋体" w:hAnsi="Times New Roman" w:cs="Times New Roman" w:hint="eastAsia"/>
          <w:sz w:val="24"/>
          <w14:ligatures w14:val="none"/>
        </w:rPr>
        <w:t>4</w:t>
      </w:r>
      <w:r w:rsidRPr="0066147A">
        <w:rPr>
          <w:rFonts w:ascii="Times New Roman" w:eastAsia="新宋体" w:hAnsi="Times New Roman" w:cs="Times New Roman"/>
          <w:sz w:val="24"/>
          <w14:ligatures w14:val="none"/>
        </w:rPr>
        <w:t>.</w:t>
      </w:r>
      <w:r w:rsidRPr="0066147A">
        <w:rPr>
          <w:rFonts w:ascii="Times New Roman" w:eastAsia="新宋体" w:hAnsi="Times New Roman" w:cs="Times New Roman" w:hint="eastAsia"/>
          <w:sz w:val="24"/>
          <w14:ligatures w14:val="none"/>
        </w:rPr>
        <w:t>1</w:t>
      </w:r>
      <w:r w:rsidRPr="0066147A">
        <w:rPr>
          <w:rFonts w:ascii="Times New Roman" w:eastAsia="新宋体" w:hAnsi="Times New Roman" w:cs="Times New Roman"/>
          <w:sz w:val="24"/>
          <w14:ligatures w14:val="none"/>
        </w:rPr>
        <w:t>）</w:t>
      </w:r>
    </w:p>
    <w:p w14:paraId="35F0E84E" w14:textId="77777777" w:rsidR="0066147A" w:rsidRPr="0066147A" w:rsidRDefault="0066147A" w:rsidP="0066147A">
      <w:pPr>
        <w:spacing w:after="0" w:line="360" w:lineRule="auto"/>
        <w:ind w:firstLineChars="200" w:firstLine="480"/>
        <w:jc w:val="both"/>
        <w:rPr>
          <w:rFonts w:ascii="Times New Roman" w:eastAsia="宋体" w:hAnsi="Times New Roman" w:cs="Times New Roman" w:hint="eastAsia"/>
          <w:sz w:val="24"/>
          <w14:ligatures w14:val="none"/>
        </w:rPr>
      </w:pPr>
      <w:r w:rsidRPr="0066147A">
        <w:rPr>
          <w:rFonts w:ascii="Times New Roman" w:eastAsia="宋体" w:hAnsi="Times New Roman" w:cs="Times New Roman"/>
          <w:sz w:val="24"/>
          <w14:ligatures w14:val="none"/>
        </w:rPr>
        <w:lastRenderedPageBreak/>
        <w:t>其中：</w:t>
      </w:r>
      <w:r w:rsidRPr="0066147A">
        <w:rPr>
          <w:rFonts w:ascii="Times New Roman" w:eastAsia="宋体" w:hAnsi="Times New Roman" w:cs="Times New Roman"/>
          <w:sz w:val="24"/>
          <w14:ligatures w14:val="none"/>
        </w:rPr>
        <w:object w:dxaOrig="320" w:dyaOrig="360" w14:anchorId="38E414FE">
          <v:shape id="_x0000_i1387" type="#_x0000_t75" style="width:16pt;height:18pt" o:ole="">
            <v:imagedata r:id="rId10" o:title=""/>
          </v:shape>
          <o:OLEObject Type="Embed" ProgID="Equation.DSMT4" ShapeID="_x0000_i1387" DrawAspect="Content" ObjectID="_1822569211" r:id="rId11"/>
        </w:object>
      </w:r>
      <w:r w:rsidRPr="0066147A">
        <w:rPr>
          <w:rFonts w:ascii="Times New Roman" w:eastAsia="宋体" w:hAnsi="Times New Roman" w:cs="Times New Roman"/>
          <w:sz w:val="24"/>
          <w14:ligatures w14:val="none"/>
        </w:rPr>
        <w:t>表示</w:t>
      </w:r>
      <w:r w:rsidRPr="0066147A">
        <w:rPr>
          <w:rFonts w:ascii="Times New Roman" w:eastAsia="宋体" w:hAnsi="Times New Roman" w:cs="Times New Roman"/>
          <w:sz w:val="24"/>
          <w14:ligatures w14:val="none"/>
        </w:rPr>
        <w:t>t</w:t>
      </w:r>
      <w:r w:rsidRPr="0066147A">
        <w:rPr>
          <w:rFonts w:ascii="Times New Roman" w:eastAsia="宋体" w:hAnsi="Times New Roman" w:cs="Times New Roman"/>
          <w:sz w:val="24"/>
          <w14:ligatures w14:val="none"/>
        </w:rPr>
        <w:t>日债券</w:t>
      </w:r>
      <w:proofErr w:type="spellStart"/>
      <w:r w:rsidRPr="0066147A">
        <w:rPr>
          <w:rFonts w:ascii="Times New Roman" w:eastAsia="宋体" w:hAnsi="Times New Roman" w:cs="Times New Roman"/>
          <w:sz w:val="24"/>
          <w14:ligatures w14:val="none"/>
        </w:rPr>
        <w:t>i</w:t>
      </w:r>
      <w:proofErr w:type="spellEnd"/>
      <w:r w:rsidRPr="0066147A">
        <w:rPr>
          <w:rFonts w:ascii="Times New Roman" w:eastAsia="宋体" w:hAnsi="Times New Roman" w:cs="Times New Roman"/>
          <w:sz w:val="24"/>
          <w14:ligatures w14:val="none"/>
        </w:rPr>
        <w:t>的收盘价；</w:t>
      </w:r>
      <w:r w:rsidRPr="0066147A">
        <w:rPr>
          <w:rFonts w:ascii="Times New Roman" w:eastAsia="宋体" w:hAnsi="Times New Roman" w:cs="Times New Roman"/>
          <w:sz w:val="24"/>
          <w14:ligatures w14:val="none"/>
        </w:rPr>
        <w:object w:dxaOrig="279" w:dyaOrig="360" w14:anchorId="210615FD">
          <v:shape id="_x0000_i1388" type="#_x0000_t75" style="width:14pt;height:18pt" o:ole="">
            <v:imagedata r:id="rId12" o:title=""/>
          </v:shape>
          <o:OLEObject Type="Embed" ProgID="Equation.DSMT4" ShapeID="_x0000_i1388" DrawAspect="Content" ObjectID="_1822569212" r:id="rId13"/>
        </w:object>
      </w:r>
      <w:r w:rsidRPr="0066147A">
        <w:rPr>
          <w:rFonts w:ascii="Times New Roman" w:eastAsia="宋体" w:hAnsi="Times New Roman" w:cs="Times New Roman"/>
          <w:sz w:val="24"/>
          <w14:ligatures w14:val="none"/>
        </w:rPr>
        <w:t>表示</w:t>
      </w:r>
      <w:r w:rsidRPr="0066147A">
        <w:rPr>
          <w:rFonts w:ascii="Times New Roman" w:eastAsia="宋体" w:hAnsi="Times New Roman" w:cs="Times New Roman"/>
          <w:sz w:val="24"/>
          <w14:ligatures w14:val="none"/>
        </w:rPr>
        <w:t>t</w:t>
      </w:r>
      <w:r w:rsidRPr="0066147A">
        <w:rPr>
          <w:rFonts w:ascii="Times New Roman" w:eastAsia="宋体" w:hAnsi="Times New Roman" w:cs="Times New Roman"/>
          <w:sz w:val="24"/>
          <w14:ligatures w14:val="none"/>
        </w:rPr>
        <w:t>日债券</w:t>
      </w:r>
      <w:proofErr w:type="spellStart"/>
      <w:r w:rsidRPr="0066147A">
        <w:rPr>
          <w:rFonts w:ascii="Times New Roman" w:eastAsia="宋体" w:hAnsi="Times New Roman" w:cs="Times New Roman"/>
          <w:sz w:val="24"/>
          <w14:ligatures w14:val="none"/>
        </w:rPr>
        <w:t>i</w:t>
      </w:r>
      <w:proofErr w:type="spellEnd"/>
      <w:r w:rsidRPr="0066147A">
        <w:rPr>
          <w:rFonts w:ascii="Times New Roman" w:eastAsia="宋体" w:hAnsi="Times New Roman" w:cs="Times New Roman"/>
          <w:sz w:val="24"/>
          <w14:ligatures w14:val="none"/>
        </w:rPr>
        <w:t>的交易量；</w:t>
      </w:r>
      <w:r w:rsidRPr="0066147A">
        <w:rPr>
          <w:rFonts w:ascii="Times New Roman" w:eastAsia="宋体" w:hAnsi="Times New Roman" w:cs="Times New Roman"/>
          <w:sz w:val="24"/>
          <w14:ligatures w14:val="none"/>
        </w:rPr>
        <w:object w:dxaOrig="1300" w:dyaOrig="680" w14:anchorId="018649DB">
          <v:shape id="_x0000_i1389" type="#_x0000_t75" style="width:65pt;height:34pt" o:ole="">
            <v:imagedata r:id="rId14" o:title=""/>
          </v:shape>
          <o:OLEObject Type="Embed" ProgID="Equation.DSMT4" ShapeID="_x0000_i1389" DrawAspect="Content" ObjectID="_1822569213" r:id="rId15"/>
        </w:object>
      </w:r>
      <w:r w:rsidRPr="0066147A">
        <w:rPr>
          <w:rFonts w:ascii="Times New Roman" w:eastAsia="宋体" w:hAnsi="Times New Roman" w:cs="Times New Roman"/>
          <w:sz w:val="24"/>
          <w14:ligatures w14:val="none"/>
        </w:rPr>
        <w:t>表示一定时间内债券</w:t>
      </w:r>
      <w:proofErr w:type="spellStart"/>
      <w:r w:rsidRPr="0066147A">
        <w:rPr>
          <w:rFonts w:ascii="Times New Roman" w:eastAsia="宋体" w:hAnsi="Times New Roman" w:cs="Times New Roman"/>
          <w:sz w:val="24"/>
          <w14:ligatures w14:val="none"/>
        </w:rPr>
        <w:t>i</w:t>
      </w:r>
      <w:proofErr w:type="spellEnd"/>
      <w:r w:rsidRPr="0066147A">
        <w:rPr>
          <w:rFonts w:ascii="Times New Roman" w:eastAsia="宋体" w:hAnsi="Times New Roman" w:cs="Times New Roman"/>
          <w:sz w:val="24"/>
          <w14:ligatures w14:val="none"/>
        </w:rPr>
        <w:t>的价格变化绝对比率的总和。</w:t>
      </w:r>
    </w:p>
    <w:p w14:paraId="760CBEEA"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纳斯达克市场采用</w:t>
      </w:r>
      <w:r w:rsidRPr="0066147A">
        <w:rPr>
          <w:rFonts w:ascii="Times New Roman" w:eastAsia="宋体" w:hAnsi="Times New Roman" w:cs="Times New Roman"/>
          <w:position w:val="-6"/>
          <w:sz w:val="24"/>
          <w14:ligatures w14:val="none"/>
        </w:rPr>
        <w:object w:dxaOrig="859" w:dyaOrig="279" w14:anchorId="17CBF9DA">
          <v:shape id="_x0000_i1390" type="#_x0000_t75" style="width:43pt;height:14pt" o:ole="">
            <v:imagedata r:id="rId16" o:title=""/>
          </v:shape>
          <o:OLEObject Type="Embed" ProgID="Equation.DSMT4" ShapeID="_x0000_i1390" DrawAspect="Content" ObjectID="_1822569214" r:id="rId17"/>
        </w:object>
      </w:r>
      <w:r w:rsidRPr="0066147A">
        <w:rPr>
          <w:rFonts w:ascii="Times New Roman" w:eastAsia="宋体" w:hAnsi="Times New Roman" w:cs="Times New Roman"/>
          <w:sz w:val="24"/>
          <w14:ligatures w14:val="none"/>
        </w:rPr>
        <w:t>流动性比率作为衡量市场流动性的指标之一，</w:t>
      </w:r>
      <w:r w:rsidRPr="0066147A">
        <w:rPr>
          <w:rFonts w:ascii="Times New Roman" w:eastAsia="宋体" w:hAnsi="Times New Roman" w:cs="Times New Roman"/>
          <w:position w:val="-6"/>
          <w:sz w:val="24"/>
          <w14:ligatures w14:val="none"/>
        </w:rPr>
        <w:object w:dxaOrig="859" w:dyaOrig="279" w14:anchorId="073CE8E1">
          <v:shape id="_x0000_i1391" type="#_x0000_t75" style="width:43pt;height:14pt" o:ole="">
            <v:imagedata r:id="rId18" o:title=""/>
          </v:shape>
          <o:OLEObject Type="Embed" ProgID="Equation.DSMT4" ShapeID="_x0000_i1391" DrawAspect="Content" ObjectID="_1822569215" r:id="rId19"/>
        </w:object>
      </w:r>
      <w:r w:rsidRPr="0066147A">
        <w:rPr>
          <w:rFonts w:ascii="Times New Roman" w:eastAsia="宋体" w:hAnsi="Times New Roman" w:cs="Times New Roman"/>
          <w:sz w:val="24"/>
          <w14:ligatures w14:val="none"/>
        </w:rPr>
        <w:t>流动性比率越高，表示流动性越好。笔者拟采用</w:t>
      </w:r>
      <w:r w:rsidRPr="0066147A">
        <w:rPr>
          <w:rFonts w:ascii="Times New Roman" w:eastAsia="宋体" w:hAnsi="Times New Roman" w:cs="Times New Roman"/>
          <w:sz w:val="24"/>
          <w14:ligatures w14:val="none"/>
        </w:rPr>
        <w:t>t</w:t>
      </w:r>
      <w:r w:rsidRPr="0066147A">
        <w:rPr>
          <w:rFonts w:ascii="Times New Roman" w:eastAsia="宋体" w:hAnsi="Times New Roman" w:cs="Times New Roman"/>
          <w:sz w:val="24"/>
          <w14:ligatures w14:val="none"/>
        </w:rPr>
        <w:t>日前</w:t>
      </w:r>
      <w:r w:rsidRPr="0066147A">
        <w:rPr>
          <w:rFonts w:ascii="Times New Roman" w:eastAsia="宋体" w:hAnsi="Times New Roman" w:cs="Times New Roman"/>
          <w:sz w:val="24"/>
          <w14:ligatures w14:val="none"/>
        </w:rPr>
        <w:t>5</w:t>
      </w:r>
      <w:r w:rsidRPr="0066147A">
        <w:rPr>
          <w:rFonts w:ascii="Times New Roman" w:eastAsia="宋体" w:hAnsi="Times New Roman" w:cs="Times New Roman"/>
          <w:sz w:val="24"/>
          <w14:ligatures w14:val="none"/>
        </w:rPr>
        <w:t>天的交易数据</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即一周的数据</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来计算</w:t>
      </w:r>
      <w:r w:rsidRPr="0066147A">
        <w:rPr>
          <w:rFonts w:ascii="Times New Roman" w:eastAsia="宋体" w:hAnsi="Times New Roman" w:cs="Times New Roman"/>
          <w:sz w:val="24"/>
          <w14:ligatures w14:val="none"/>
        </w:rPr>
        <w:t>t</w:t>
      </w:r>
      <w:r w:rsidRPr="0066147A">
        <w:rPr>
          <w:rFonts w:ascii="Times New Roman" w:eastAsia="宋体" w:hAnsi="Times New Roman" w:cs="Times New Roman"/>
          <w:sz w:val="24"/>
          <w14:ligatures w14:val="none"/>
        </w:rPr>
        <w:t>日的</w:t>
      </w:r>
      <w:r w:rsidRPr="0066147A">
        <w:rPr>
          <w:rFonts w:ascii="Times New Roman" w:eastAsia="宋体" w:hAnsi="Times New Roman" w:cs="Times New Roman"/>
          <w:position w:val="-6"/>
          <w:sz w:val="24"/>
          <w14:ligatures w14:val="none"/>
        </w:rPr>
        <w:object w:dxaOrig="859" w:dyaOrig="279" w14:anchorId="46BEC60F">
          <v:shape id="_x0000_i1392" type="#_x0000_t75" style="width:43pt;height:14pt" o:ole="">
            <v:imagedata r:id="rId20" o:title=""/>
          </v:shape>
          <o:OLEObject Type="Embed" ProgID="Equation.DSMT4" ShapeID="_x0000_i1392" DrawAspect="Content" ObjectID="_1822569216" r:id="rId21"/>
        </w:object>
      </w:r>
      <w:r w:rsidRPr="0066147A">
        <w:rPr>
          <w:rFonts w:ascii="Times New Roman" w:eastAsia="宋体" w:hAnsi="Times New Roman" w:cs="Times New Roman"/>
          <w:sz w:val="24"/>
          <w14:ligatures w14:val="none"/>
        </w:rPr>
        <w:t>流动性比率。</w:t>
      </w:r>
    </w:p>
    <w:p w14:paraId="62051B41"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Brockman and Chung</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1999</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指出，证券交易量、交易价格</w:t>
      </w:r>
      <w:r w:rsidRPr="0066147A">
        <w:rPr>
          <w:rFonts w:ascii="Times New Roman" w:eastAsia="宋体" w:hAnsi="Times New Roman" w:cs="Times New Roman" w:hint="eastAsia"/>
          <w:sz w:val="24"/>
          <w14:ligatures w14:val="none"/>
        </w:rPr>
        <w:t>及</w:t>
      </w:r>
      <w:r w:rsidRPr="0066147A">
        <w:rPr>
          <w:rFonts w:ascii="Times New Roman" w:eastAsia="宋体" w:hAnsi="Times New Roman" w:cs="Times New Roman"/>
          <w:sz w:val="24"/>
          <w14:ligatures w14:val="none"/>
        </w:rPr>
        <w:t>波动性对证券市场流动性产生影响，国内许多学者也从影响市场流动性的微观层面去分析各因素对债券市场流动性的影响。笔者在借鉴国内外学者对影响证券市场流动性的基础上，结合国内债券市场情况，总结了以下影响债券市场流动性水平的因素。</w:t>
      </w:r>
    </w:p>
    <w:p w14:paraId="78F37D61"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w:t>
      </w:r>
      <w:r w:rsidRPr="0066147A">
        <w:rPr>
          <w:rFonts w:ascii="Times New Roman" w:eastAsia="宋体" w:hAnsi="Times New Roman" w:cs="Times New Roman" w:hint="eastAsia"/>
          <w:sz w:val="24"/>
          <w14:ligatures w14:val="none"/>
        </w:rPr>
        <w:t>1</w:t>
      </w:r>
      <w:r w:rsidRPr="0066147A">
        <w:rPr>
          <w:rFonts w:ascii="Times New Roman" w:eastAsia="宋体" w:hAnsi="Times New Roman" w:cs="Times New Roman"/>
          <w:sz w:val="24"/>
          <w14:ligatures w14:val="none"/>
        </w:rPr>
        <w:t>）债券增信</w:t>
      </w:r>
    </w:p>
    <w:p w14:paraId="301DDA3D"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相对增信前债券的违约风险和信用级别，增信后债券的违约风险降低了，该债券的信用级别提高到更高信用级别或至少维持在原有信用级别水平上。债券增信前后，投资者持有该债券的目的可能出现变化，从而改变该债券在增信前的流动性水平。</w:t>
      </w:r>
    </w:p>
    <w:p w14:paraId="044A3480"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w:t>
      </w:r>
      <w:r w:rsidRPr="0066147A">
        <w:rPr>
          <w:rFonts w:ascii="Times New Roman" w:eastAsia="宋体" w:hAnsi="Times New Roman" w:cs="Times New Roman" w:hint="eastAsia"/>
          <w:sz w:val="24"/>
          <w14:ligatures w14:val="none"/>
        </w:rPr>
        <w:t>2</w:t>
      </w:r>
      <w:r w:rsidRPr="0066147A">
        <w:rPr>
          <w:rFonts w:ascii="Times New Roman" w:eastAsia="宋体" w:hAnsi="Times New Roman" w:cs="Times New Roman"/>
          <w:sz w:val="24"/>
          <w14:ligatures w14:val="none"/>
        </w:rPr>
        <w:t>）交易量</w:t>
      </w:r>
    </w:p>
    <w:p w14:paraId="2DCCB9EA"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交易量与流动性呈正相关关系</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价差</w:t>
      </w:r>
      <w:proofErr w:type="gramStart"/>
      <w:r w:rsidRPr="0066147A">
        <w:rPr>
          <w:rFonts w:ascii="Times New Roman" w:eastAsia="宋体" w:hAnsi="Times New Roman" w:cs="Times New Roman"/>
          <w:sz w:val="24"/>
          <w14:ligatures w14:val="none"/>
        </w:rPr>
        <w:t>随交易</w:t>
      </w:r>
      <w:proofErr w:type="gramEnd"/>
      <w:r w:rsidRPr="0066147A">
        <w:rPr>
          <w:rFonts w:ascii="Times New Roman" w:eastAsia="宋体" w:hAnsi="Times New Roman" w:cs="Times New Roman"/>
          <w:sz w:val="24"/>
          <w14:ligatures w14:val="none"/>
        </w:rPr>
        <w:t>量的增加而减小，市场深度</w:t>
      </w:r>
      <w:proofErr w:type="gramStart"/>
      <w:r w:rsidRPr="0066147A">
        <w:rPr>
          <w:rFonts w:ascii="Times New Roman" w:eastAsia="宋体" w:hAnsi="Times New Roman" w:cs="Times New Roman"/>
          <w:sz w:val="24"/>
          <w14:ligatures w14:val="none"/>
        </w:rPr>
        <w:t>随交易</w:t>
      </w:r>
      <w:proofErr w:type="gramEnd"/>
      <w:r w:rsidRPr="0066147A">
        <w:rPr>
          <w:rFonts w:ascii="Times New Roman" w:eastAsia="宋体" w:hAnsi="Times New Roman" w:cs="Times New Roman"/>
          <w:sz w:val="24"/>
          <w14:ligatures w14:val="none"/>
        </w:rPr>
        <w:t>量的增加而增大</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：首先，交易量表示了交易的活跃程度，越活跃的</w:t>
      </w:r>
      <w:r w:rsidRPr="0066147A">
        <w:rPr>
          <w:rFonts w:ascii="Times New Roman" w:eastAsia="宋体" w:hAnsi="Times New Roman" w:cs="Times New Roman" w:hint="eastAsia"/>
          <w:sz w:val="24"/>
          <w14:ligatures w14:val="none"/>
        </w:rPr>
        <w:t>债券</w:t>
      </w:r>
      <w:r w:rsidRPr="0066147A">
        <w:rPr>
          <w:rFonts w:ascii="Times New Roman" w:eastAsia="宋体" w:hAnsi="Times New Roman" w:cs="Times New Roman"/>
          <w:sz w:val="24"/>
          <w14:ligatures w14:val="none"/>
        </w:rPr>
        <w:t>，投资者调整组合越容易，调整所需要的时间越短，其所持有头寸长时间暴露风险的可能性也越小，因此买卖报价价差就越小。其次，由于交易量的增加意味着限价指令流的增加，从而市场深度增加，交易的即时性和市场流动性增加，因此，交易量越大，市场深度越大，市场所能承受的冲击就越大，单笔交易对市场的影响就会减小。</w:t>
      </w:r>
    </w:p>
    <w:p w14:paraId="22050E51"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w:t>
      </w:r>
      <w:r w:rsidRPr="0066147A">
        <w:rPr>
          <w:rFonts w:ascii="Times New Roman" w:eastAsia="宋体" w:hAnsi="Times New Roman" w:cs="Times New Roman" w:hint="eastAsia"/>
          <w:sz w:val="24"/>
          <w14:ligatures w14:val="none"/>
        </w:rPr>
        <w:t>3</w:t>
      </w:r>
      <w:r w:rsidRPr="0066147A">
        <w:rPr>
          <w:rFonts w:ascii="Times New Roman" w:eastAsia="宋体" w:hAnsi="Times New Roman" w:cs="Times New Roman"/>
          <w:sz w:val="24"/>
          <w14:ligatures w14:val="none"/>
        </w:rPr>
        <w:t>）债券风险</w:t>
      </w:r>
    </w:p>
    <w:p w14:paraId="3702F7C4"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债券风险与流动性反向变动：流动性反映了市场中不同投资者对信息的理解和各自所拥有内幕信息集的差异，同时也反映了做市商基于历史信息对债券风险的估计。债券风险越大意味着市场中投资者对未来价格的预期之间存在的差异越大，因此在指令驱动的市场中买卖报价价差也就越大。同时债券风险越大还使得市场中投资者对未来的预期不确定性增加，流动性提供者面临的逆向选择成本越大，也就使得限价指令交易者提供流动性的愿望不强烈，以避免与内幕交易者交易而遭受损失，从而导致市场深度降低。</w:t>
      </w:r>
    </w:p>
    <w:p w14:paraId="07E7F8D7"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lastRenderedPageBreak/>
        <w:t>（</w:t>
      </w:r>
      <w:r w:rsidRPr="0066147A">
        <w:rPr>
          <w:rFonts w:ascii="Times New Roman" w:eastAsia="宋体" w:hAnsi="Times New Roman" w:cs="Times New Roman" w:hint="eastAsia"/>
          <w:sz w:val="24"/>
          <w14:ligatures w14:val="none"/>
        </w:rPr>
        <w:t>4</w:t>
      </w:r>
      <w:r w:rsidRPr="0066147A">
        <w:rPr>
          <w:rFonts w:ascii="Times New Roman" w:eastAsia="宋体" w:hAnsi="Times New Roman" w:cs="Times New Roman"/>
          <w:sz w:val="24"/>
          <w14:ligatures w14:val="none"/>
        </w:rPr>
        <w:t>）发行规模</w:t>
      </w:r>
    </w:p>
    <w:p w14:paraId="69421364"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债券发行规模越大，债券的流通盘越大，参与债券交易的投资者人数和次数也越多，那么债券的流动性也越好。因此，债券的发行规模与其市场流动性成正相关关系。</w:t>
      </w:r>
    </w:p>
    <w:p w14:paraId="26EEC184"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根据上述分析，笔者构建如下模型研究债券增信水平</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交易量、风险</w:t>
      </w:r>
      <w:r w:rsidRPr="0066147A">
        <w:rPr>
          <w:rFonts w:ascii="Times New Roman" w:eastAsia="宋体" w:hAnsi="Times New Roman" w:cs="Times New Roman" w:hint="eastAsia"/>
          <w:sz w:val="24"/>
          <w14:ligatures w14:val="none"/>
        </w:rPr>
        <w:t>及</w:t>
      </w:r>
      <w:r w:rsidRPr="0066147A">
        <w:rPr>
          <w:rFonts w:ascii="Times New Roman" w:eastAsia="宋体" w:hAnsi="Times New Roman" w:cs="Times New Roman"/>
          <w:sz w:val="24"/>
          <w14:ligatures w14:val="none"/>
        </w:rPr>
        <w:t>发行额对债券</w:t>
      </w:r>
      <w:r w:rsidRPr="0066147A">
        <w:rPr>
          <w:rFonts w:ascii="Times New Roman" w:eastAsia="宋体" w:hAnsi="Times New Roman" w:cs="Times New Roman" w:hint="eastAsia"/>
          <w:sz w:val="24"/>
          <w14:ligatures w14:val="none"/>
        </w:rPr>
        <w:t>市场</w:t>
      </w:r>
      <w:r w:rsidRPr="0066147A">
        <w:rPr>
          <w:rFonts w:ascii="Times New Roman" w:eastAsia="宋体" w:hAnsi="Times New Roman" w:cs="Times New Roman"/>
          <w:sz w:val="24"/>
          <w14:ligatures w14:val="none"/>
        </w:rPr>
        <w:t>流动性的影响，重点考察债券增信水平能否提高债券市场流动性。</w:t>
      </w:r>
    </w:p>
    <w:p w14:paraId="3082A4CB" w14:textId="77777777" w:rsidR="0066147A" w:rsidRPr="0066147A" w:rsidRDefault="0066147A" w:rsidP="0066147A">
      <w:pPr>
        <w:spacing w:after="0" w:line="480" w:lineRule="auto"/>
        <w:ind w:leftChars="57" w:left="125"/>
        <w:jc w:val="both"/>
        <w:rPr>
          <w:rFonts w:ascii="Times New Roman" w:eastAsia="宋体" w:hAnsi="Times New Roman" w:cs="Times New Roman"/>
          <w:sz w:val="24"/>
          <w14:ligatures w14:val="none"/>
        </w:rPr>
      </w:pPr>
      <w:r w:rsidRPr="0066147A">
        <w:rPr>
          <w:rFonts w:ascii="Times New Roman" w:eastAsia="宋体" w:hAnsi="Times New Roman" w:cs="Times New Roman"/>
          <w:position w:val="-12"/>
          <w:sz w:val="24"/>
          <w14:ligatures w14:val="none"/>
        </w:rPr>
        <w:object w:dxaOrig="8220" w:dyaOrig="360" w14:anchorId="1FC10621">
          <v:shape id="_x0000_i1393" type="#_x0000_t75" style="width:411pt;height:18pt" o:ole="">
            <v:imagedata r:id="rId22" o:title=""/>
          </v:shape>
          <o:OLEObject Type="Embed" ProgID="Equation.DSMT4" ShapeID="_x0000_i1393" DrawAspect="Content" ObjectID="_1822569217" r:id="rId23"/>
        </w:object>
      </w:r>
      <w:r w:rsidRPr="0066147A">
        <w:rPr>
          <w:rFonts w:ascii="Times New Roman" w:eastAsia="宋体" w:hAnsi="Times New Roman" w:cs="Times New Roman" w:hint="eastAsia"/>
          <w:sz w:val="24"/>
          <w14:ligatures w14:val="none"/>
        </w:rPr>
        <w:t xml:space="preserve">   </w:t>
      </w:r>
      <w:r w:rsidRPr="0066147A">
        <w:rPr>
          <w:rFonts w:ascii="Times New Roman" w:eastAsia="宋体" w:hAnsi="Times New Roman" w:cs="Times New Roman"/>
          <w:position w:val="-6"/>
          <w:sz w:val="24"/>
          <w14:ligatures w14:val="none"/>
        </w:rPr>
        <w:object w:dxaOrig="859" w:dyaOrig="279" w14:anchorId="4B14E585">
          <v:shape id="_x0000_i1394" type="#_x0000_t75" style="width:43pt;height:14pt" o:ole="">
            <v:imagedata r:id="rId24" o:title=""/>
          </v:shape>
          <o:OLEObject Type="Embed" ProgID="Equation.DSMT4" ShapeID="_x0000_i1394" DrawAspect="Content" ObjectID="_1822569218" r:id="rId25"/>
        </w:object>
      </w:r>
      <w:r w:rsidRPr="0066147A">
        <w:rPr>
          <w:rFonts w:ascii="Times New Roman" w:eastAsia="宋体" w:hAnsi="Times New Roman" w:cs="Times New Roman"/>
          <w:sz w:val="24"/>
          <w14:ligatures w14:val="none"/>
        </w:rPr>
        <w:t>：债券市场流动性；</w:t>
      </w:r>
    </w:p>
    <w:p w14:paraId="1EF8D04C"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position w:val="-12"/>
          <w:sz w:val="24"/>
          <w14:ligatures w14:val="none"/>
        </w:rPr>
        <w:object w:dxaOrig="980" w:dyaOrig="360" w14:anchorId="7BB60EBB">
          <v:shape id="_x0000_i1395" type="#_x0000_t75" style="width:49pt;height:18pt" o:ole="">
            <v:imagedata r:id="rId26" o:title=""/>
          </v:shape>
          <o:OLEObject Type="Embed" ProgID="Equation.DSMT4" ShapeID="_x0000_i1395" DrawAspect="Content" ObjectID="_1822569219" r:id="rId27"/>
        </w:object>
      </w:r>
      <w:r w:rsidRPr="0066147A">
        <w:rPr>
          <w:rFonts w:ascii="Times New Roman" w:eastAsia="宋体" w:hAnsi="Times New Roman" w:cs="Times New Roman"/>
          <w:sz w:val="24"/>
          <w14:ligatures w14:val="none"/>
        </w:rPr>
        <w:t>：债券</w:t>
      </w:r>
      <w:r w:rsidRPr="0066147A">
        <w:rPr>
          <w:rFonts w:ascii="Times New Roman" w:eastAsia="宋体" w:hAnsi="Times New Roman" w:cs="Times New Roman" w:hint="eastAsia"/>
          <w:sz w:val="24"/>
          <w14:ligatures w14:val="none"/>
        </w:rPr>
        <w:t>增信</w:t>
      </w:r>
      <w:r w:rsidRPr="0066147A">
        <w:rPr>
          <w:rFonts w:ascii="Times New Roman" w:eastAsia="宋体" w:hAnsi="Times New Roman" w:cs="Times New Roman"/>
          <w:sz w:val="24"/>
          <w14:ligatures w14:val="none"/>
        </w:rPr>
        <w:t>水平，采用增信前后的债券发行利率利差的绝对值来表示，利差绝对值越大表示债券</w:t>
      </w:r>
      <w:r w:rsidRPr="0066147A">
        <w:rPr>
          <w:rFonts w:ascii="Times New Roman" w:eastAsia="宋体" w:hAnsi="Times New Roman" w:cs="Times New Roman" w:hint="eastAsia"/>
          <w:sz w:val="24"/>
          <w14:ligatures w14:val="none"/>
        </w:rPr>
        <w:t>增信</w:t>
      </w:r>
      <w:r w:rsidRPr="0066147A">
        <w:rPr>
          <w:rFonts w:ascii="Times New Roman" w:eastAsia="宋体" w:hAnsi="Times New Roman" w:cs="Times New Roman"/>
          <w:sz w:val="24"/>
          <w14:ligatures w14:val="none"/>
        </w:rPr>
        <w:t>水平越好；其中，增信前的债券发行利率用债券级别与该债券主体级别相同的企业债券平均发行利率来表示；</w:t>
      </w:r>
    </w:p>
    <w:p w14:paraId="4A5BB133"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position w:val="-12"/>
          <w:sz w:val="24"/>
          <w14:ligatures w14:val="none"/>
        </w:rPr>
        <w:object w:dxaOrig="900" w:dyaOrig="360" w14:anchorId="12601FF6">
          <v:shape id="_x0000_i1396" type="#_x0000_t75" style="width:45pt;height:18pt" o:ole="">
            <v:imagedata r:id="rId28" o:title=""/>
          </v:shape>
          <o:OLEObject Type="Embed" ProgID="Equation.DSMT4" ShapeID="_x0000_i1396" DrawAspect="Content" ObjectID="_1822569220" r:id="rId29"/>
        </w:object>
      </w:r>
      <w:r w:rsidRPr="0066147A">
        <w:rPr>
          <w:rFonts w:ascii="Times New Roman" w:eastAsia="宋体" w:hAnsi="Times New Roman" w:cs="Times New Roman"/>
          <w:sz w:val="24"/>
          <w14:ligatures w14:val="none"/>
        </w:rPr>
        <w:t>：债券的</w:t>
      </w:r>
      <w:proofErr w:type="gramStart"/>
      <w:r w:rsidRPr="0066147A">
        <w:rPr>
          <w:rFonts w:ascii="Times New Roman" w:eastAsia="宋体" w:hAnsi="Times New Roman" w:cs="Times New Roman"/>
          <w:sz w:val="24"/>
          <w14:ligatures w14:val="none"/>
        </w:rPr>
        <w:t>周交易</w:t>
      </w:r>
      <w:proofErr w:type="gramEnd"/>
      <w:r w:rsidRPr="0066147A">
        <w:rPr>
          <w:rFonts w:ascii="Times New Roman" w:eastAsia="宋体" w:hAnsi="Times New Roman" w:cs="Times New Roman"/>
          <w:sz w:val="24"/>
          <w14:ligatures w14:val="none"/>
        </w:rPr>
        <w:t>金额；</w:t>
      </w:r>
    </w:p>
    <w:p w14:paraId="3AA9D735"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position w:val="-12"/>
          <w:sz w:val="24"/>
          <w14:ligatures w14:val="none"/>
        </w:rPr>
        <w:object w:dxaOrig="680" w:dyaOrig="360" w14:anchorId="0CB6D5F2">
          <v:shape id="_x0000_i1397" type="#_x0000_t75" style="width:34pt;height:18pt" o:ole="">
            <v:imagedata r:id="rId30" o:title=""/>
          </v:shape>
          <o:OLEObject Type="Embed" ProgID="Equation.DSMT4" ShapeID="_x0000_i1397" DrawAspect="Content" ObjectID="_1822569221" r:id="rId31"/>
        </w:object>
      </w:r>
      <w:r w:rsidRPr="0066147A">
        <w:rPr>
          <w:rFonts w:ascii="Times New Roman" w:eastAsia="宋体" w:hAnsi="Times New Roman" w:cs="Times New Roman"/>
          <w:sz w:val="24"/>
          <w14:ligatures w14:val="none"/>
        </w:rPr>
        <w:t>：债券每周收盘价的方差，衡量债券的风险，先求出债券各周的收盘价均值，从而求出债券各周收盘价方差作为</w:t>
      </w:r>
      <w:r w:rsidRPr="0066147A">
        <w:rPr>
          <w:rFonts w:ascii="Times New Roman" w:eastAsia="宋体" w:hAnsi="Times New Roman" w:cs="Times New Roman"/>
          <w:position w:val="-12"/>
          <w:sz w:val="24"/>
          <w14:ligatures w14:val="none"/>
        </w:rPr>
        <w:object w:dxaOrig="680" w:dyaOrig="360" w14:anchorId="5D3A5385">
          <v:shape id="_x0000_i1398" type="#_x0000_t75" style="width:34pt;height:18pt" o:ole="">
            <v:imagedata r:id="rId30" o:title=""/>
          </v:shape>
          <o:OLEObject Type="Embed" ProgID="Equation.DSMT4" ShapeID="_x0000_i1398" DrawAspect="Content" ObjectID="_1822569222" r:id="rId32"/>
        </w:object>
      </w:r>
      <w:r w:rsidRPr="0066147A">
        <w:rPr>
          <w:rFonts w:ascii="Times New Roman" w:eastAsia="宋体" w:hAnsi="Times New Roman" w:cs="Times New Roman"/>
          <w:sz w:val="24"/>
          <w14:ligatures w14:val="none"/>
        </w:rPr>
        <w:t>；</w:t>
      </w:r>
    </w:p>
    <w:p w14:paraId="20B1D264"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position w:val="-12"/>
          <w:sz w:val="24"/>
          <w14:ligatures w14:val="none"/>
        </w:rPr>
        <w:object w:dxaOrig="1540" w:dyaOrig="360" w14:anchorId="21A2EE69">
          <v:shape id="_x0000_i1399" type="#_x0000_t75" style="width:77pt;height:18pt" o:ole="">
            <v:imagedata r:id="rId33" o:title=""/>
          </v:shape>
          <o:OLEObject Type="Embed" ProgID="Equation.DSMT4" ShapeID="_x0000_i1399" DrawAspect="Content" ObjectID="_1822569223" r:id="rId34"/>
        </w:object>
      </w:r>
      <w:r w:rsidRPr="0066147A">
        <w:rPr>
          <w:rFonts w:ascii="Times New Roman" w:eastAsia="宋体" w:hAnsi="Times New Roman" w:cs="Times New Roman"/>
          <w:sz w:val="24"/>
          <w14:ligatures w14:val="none"/>
        </w:rPr>
        <w:t>：每只债券的发行额。</w:t>
      </w:r>
    </w:p>
    <w:p w14:paraId="60E0FA67" w14:textId="418F62C0" w:rsidR="0066147A" w:rsidRPr="0066147A" w:rsidRDefault="0066147A" w:rsidP="0066147A">
      <w:pPr>
        <w:spacing w:after="0" w:line="440" w:lineRule="exact"/>
        <w:jc w:val="both"/>
        <w:outlineLvl w:val="3"/>
        <w:rPr>
          <w:rFonts w:ascii="黑体" w:eastAsia="黑体" w:hAnsi="宋体" w:cs="Times New Roman"/>
          <w:sz w:val="24"/>
          <w14:ligatures w14:val="none"/>
        </w:rPr>
      </w:pPr>
      <w:r w:rsidRPr="0066147A">
        <w:rPr>
          <w:rFonts w:ascii="黑体" w:eastAsia="黑体" w:hAnsi="宋体" w:cs="Times New Roman" w:hint="eastAsia"/>
          <w:sz w:val="24"/>
          <w14:ligatures w14:val="none"/>
        </w:rPr>
        <w:t>三、</w:t>
      </w:r>
      <w:r w:rsidRPr="0066147A">
        <w:rPr>
          <w:rFonts w:ascii="黑体" w:eastAsia="黑体" w:hAnsi="宋体" w:cs="Times New Roman"/>
          <w:sz w:val="24"/>
          <w14:ligatures w14:val="none"/>
        </w:rPr>
        <w:t>样本选取</w:t>
      </w:r>
      <w:r w:rsidRPr="0066147A">
        <w:rPr>
          <w:rFonts w:ascii="黑体" w:eastAsia="黑体" w:hAnsi="宋体" w:cs="Times New Roman"/>
          <w:sz w:val="24"/>
          <w14:ligatures w14:val="none"/>
        </w:rPr>
        <w:t xml:space="preserve"> </w:t>
      </w:r>
    </w:p>
    <w:p w14:paraId="31F32479"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我国银行间债券市场采取做市商交易制度，做市商市场的流动性由做市商提供，做市商不断地报出买进价格和卖出价格（包括数量），投资者可以按照做市商的报价和数量随时买进和卖出，不会因为买卖双方的供需不平衡而导致交易中断。而在我国交易所债券市场，流动性是由广大投资者相互提供的，通过交易者的订单提交策略决定的。可见场内和场外市场采取的交易机制并不相同，交易机制不同决定了影响场内和场外债券市场流动性的因素也不同，因此在研究债券市场流动性时，应该将二者区分开来进行研究。</w:t>
      </w:r>
    </w:p>
    <w:p w14:paraId="57CB14BD" w14:textId="77777777" w:rsidR="0066147A" w:rsidRPr="0066147A" w:rsidRDefault="0066147A" w:rsidP="0066147A">
      <w:pPr>
        <w:spacing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银行间债券市场企业债券交易并不频繁，以</w:t>
      </w:r>
      <w:r w:rsidRPr="0066147A">
        <w:rPr>
          <w:rFonts w:ascii="Times New Roman" w:eastAsia="宋体" w:hAnsi="Times New Roman" w:cs="Times New Roman"/>
          <w:sz w:val="24"/>
          <w14:ligatures w14:val="none"/>
        </w:rPr>
        <w:t>2008</w:t>
      </w:r>
      <w:r w:rsidRPr="0066147A">
        <w:rPr>
          <w:rFonts w:ascii="Times New Roman" w:eastAsia="宋体" w:hAnsi="Times New Roman" w:cs="Times New Roman"/>
          <w:sz w:val="24"/>
          <w14:ligatures w14:val="none"/>
        </w:rPr>
        <w:t>年第一只企业债券</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08</w:t>
      </w:r>
      <w:r w:rsidRPr="0066147A">
        <w:rPr>
          <w:rFonts w:ascii="Times New Roman" w:eastAsia="宋体" w:hAnsi="Times New Roman" w:cs="Times New Roman"/>
          <w:sz w:val="24"/>
          <w14:ligatures w14:val="none"/>
        </w:rPr>
        <w:t>赣煤债</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为例，</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08</w:t>
      </w:r>
      <w:r w:rsidRPr="0066147A">
        <w:rPr>
          <w:rFonts w:ascii="Times New Roman" w:eastAsia="宋体" w:hAnsi="Times New Roman" w:cs="Times New Roman"/>
          <w:sz w:val="24"/>
          <w14:ligatures w14:val="none"/>
        </w:rPr>
        <w:t>赣煤债</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在</w:t>
      </w:r>
      <w:r w:rsidRPr="0066147A">
        <w:rPr>
          <w:rFonts w:ascii="Times New Roman" w:eastAsia="宋体" w:hAnsi="Times New Roman" w:cs="Times New Roman"/>
          <w:sz w:val="24"/>
          <w14:ligatures w14:val="none"/>
        </w:rPr>
        <w:t>2008</w:t>
      </w:r>
      <w:r w:rsidRPr="0066147A">
        <w:rPr>
          <w:rFonts w:ascii="Times New Roman" w:eastAsia="宋体" w:hAnsi="Times New Roman" w:cs="Times New Roman"/>
          <w:sz w:val="24"/>
          <w14:ligatures w14:val="none"/>
        </w:rPr>
        <w:t>年整年只有十几天形成交易，债券每日收盘价格在一定时期内均保持不变，呈</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一</w:t>
      </w:r>
      <w:r w:rsidRPr="0066147A">
        <w:rPr>
          <w:rFonts w:ascii="Times New Roman" w:eastAsia="宋体" w:hAnsi="Times New Roman" w:cs="Times New Roman" w:hint="eastAsia"/>
          <w:sz w:val="24"/>
          <w14:ligatures w14:val="none"/>
        </w:rPr>
        <w:t>”</w:t>
      </w:r>
      <w:r w:rsidRPr="0066147A">
        <w:rPr>
          <w:rFonts w:ascii="Times New Roman" w:eastAsia="宋体" w:hAnsi="Times New Roman" w:cs="Times New Roman"/>
          <w:sz w:val="24"/>
          <w14:ligatures w14:val="none"/>
        </w:rPr>
        <w:t>字形排列。成交不</w:t>
      </w:r>
      <w:proofErr w:type="gramStart"/>
      <w:r w:rsidRPr="0066147A">
        <w:rPr>
          <w:rFonts w:ascii="Times New Roman" w:eastAsia="宋体" w:hAnsi="Times New Roman" w:cs="Times New Roman"/>
          <w:sz w:val="24"/>
          <w14:ligatures w14:val="none"/>
        </w:rPr>
        <w:t>频繁</w:t>
      </w:r>
      <w:r w:rsidRPr="0066147A">
        <w:rPr>
          <w:rFonts w:ascii="Times New Roman" w:eastAsia="宋体" w:hAnsi="Times New Roman" w:cs="Times New Roman" w:hint="eastAsia"/>
          <w:sz w:val="24"/>
          <w14:ligatures w14:val="none"/>
        </w:rPr>
        <w:t>将</w:t>
      </w:r>
      <w:proofErr w:type="gramEnd"/>
      <w:r w:rsidRPr="0066147A">
        <w:rPr>
          <w:rFonts w:ascii="Times New Roman" w:eastAsia="宋体" w:hAnsi="Times New Roman" w:cs="Times New Roman"/>
          <w:sz w:val="24"/>
          <w14:ligatures w14:val="none"/>
        </w:rPr>
        <w:t>对债券流动性和波动性</w:t>
      </w:r>
      <w:r w:rsidRPr="0066147A">
        <w:rPr>
          <w:rFonts w:ascii="Times New Roman" w:eastAsia="宋体" w:hAnsi="Times New Roman" w:cs="Times New Roman" w:hint="eastAsia"/>
          <w:sz w:val="24"/>
          <w14:ligatures w14:val="none"/>
        </w:rPr>
        <w:t>的</w:t>
      </w:r>
      <w:r w:rsidRPr="0066147A">
        <w:rPr>
          <w:rFonts w:ascii="Times New Roman" w:eastAsia="宋体" w:hAnsi="Times New Roman" w:cs="Times New Roman"/>
          <w:sz w:val="24"/>
          <w14:ligatures w14:val="none"/>
        </w:rPr>
        <w:t>研究造成数据缺失的问题。本节研究的是债券</w:t>
      </w:r>
      <w:r w:rsidRPr="0066147A">
        <w:rPr>
          <w:rFonts w:ascii="Times New Roman" w:eastAsia="宋体" w:hAnsi="Times New Roman" w:cs="Times New Roman" w:hint="eastAsia"/>
          <w:sz w:val="24"/>
          <w14:ligatures w14:val="none"/>
        </w:rPr>
        <w:t>增信</w:t>
      </w:r>
      <w:r w:rsidRPr="0066147A">
        <w:rPr>
          <w:rFonts w:ascii="Times New Roman" w:eastAsia="宋体" w:hAnsi="Times New Roman" w:cs="Times New Roman"/>
          <w:sz w:val="24"/>
          <w14:ligatures w14:val="none"/>
        </w:rPr>
        <w:t>与债券市场流动性的关系，债券市场交易体制和规则对研究债券</w:t>
      </w:r>
      <w:r w:rsidRPr="0066147A">
        <w:rPr>
          <w:rFonts w:ascii="Times New Roman" w:eastAsia="宋体" w:hAnsi="Times New Roman" w:cs="Times New Roman" w:hint="eastAsia"/>
          <w:sz w:val="24"/>
          <w14:ligatures w14:val="none"/>
        </w:rPr>
        <w:t>增信</w:t>
      </w:r>
      <w:r w:rsidRPr="0066147A">
        <w:rPr>
          <w:rFonts w:ascii="Times New Roman" w:eastAsia="宋体" w:hAnsi="Times New Roman" w:cs="Times New Roman"/>
          <w:sz w:val="24"/>
          <w14:ligatures w14:val="none"/>
        </w:rPr>
        <w:t>与市场流动性关系并没有太大影响。因此，鉴于银行间债券市场的企业债券交易数据不足，</w:t>
      </w:r>
      <w:r w:rsidRPr="0066147A">
        <w:rPr>
          <w:rFonts w:ascii="Times New Roman" w:eastAsia="宋体" w:hAnsi="Times New Roman" w:cs="Times New Roman" w:hint="eastAsia"/>
          <w:sz w:val="24"/>
          <w14:ligatures w14:val="none"/>
        </w:rPr>
        <w:t>笔者</w:t>
      </w:r>
      <w:r w:rsidRPr="0066147A">
        <w:rPr>
          <w:rFonts w:ascii="Times New Roman" w:eastAsia="宋体" w:hAnsi="Times New Roman" w:cs="Times New Roman"/>
          <w:sz w:val="24"/>
          <w14:ligatures w14:val="none"/>
        </w:rPr>
        <w:t>采用交易所公司债券和企业债券的数据来研究债券</w:t>
      </w:r>
      <w:r w:rsidRPr="0066147A">
        <w:rPr>
          <w:rFonts w:ascii="Times New Roman" w:eastAsia="宋体" w:hAnsi="Times New Roman" w:cs="Times New Roman" w:hint="eastAsia"/>
          <w:sz w:val="24"/>
          <w14:ligatures w14:val="none"/>
        </w:rPr>
        <w:t>增信</w:t>
      </w:r>
      <w:r w:rsidRPr="0066147A">
        <w:rPr>
          <w:rFonts w:ascii="Times New Roman" w:eastAsia="宋体" w:hAnsi="Times New Roman" w:cs="Times New Roman"/>
          <w:sz w:val="24"/>
          <w14:ligatures w14:val="none"/>
        </w:rPr>
        <w:t>和市场流动性水平的关系问题。</w:t>
      </w:r>
    </w:p>
    <w:p w14:paraId="24E78E3F" w14:textId="77777777" w:rsidR="0066147A" w:rsidRPr="0066147A" w:rsidRDefault="0066147A" w:rsidP="0066147A">
      <w:pPr>
        <w:spacing w:after="0" w:line="440" w:lineRule="exact"/>
        <w:ind w:firstLineChars="200" w:firstLine="480"/>
        <w:jc w:val="both"/>
        <w:rPr>
          <w:rFonts w:ascii="Times New Roman" w:eastAsia="宋体" w:hAnsi="Times New Roman" w:cs="Times New Roman" w:hint="eastAsia"/>
          <w:sz w:val="24"/>
          <w14:ligatures w14:val="none"/>
        </w:rPr>
      </w:pPr>
      <w:r w:rsidRPr="0066147A">
        <w:rPr>
          <w:rFonts w:ascii="Times New Roman" w:eastAsia="宋体" w:hAnsi="Times New Roman" w:cs="Times New Roman"/>
          <w:sz w:val="24"/>
          <w14:ligatures w14:val="none"/>
        </w:rPr>
        <w:lastRenderedPageBreak/>
        <w:t>数据来源于</w:t>
      </w:r>
      <w:r w:rsidRPr="0066147A">
        <w:rPr>
          <w:rFonts w:ascii="Times New Roman" w:eastAsia="宋体" w:hAnsi="Times New Roman" w:cs="Times New Roman"/>
          <w:sz w:val="24"/>
          <w14:ligatures w14:val="none"/>
        </w:rPr>
        <w:t>Wind</w:t>
      </w:r>
      <w:r w:rsidRPr="0066147A">
        <w:rPr>
          <w:rFonts w:ascii="Times New Roman" w:eastAsia="宋体" w:hAnsi="Times New Roman" w:cs="Times New Roman"/>
          <w:sz w:val="24"/>
          <w14:ligatures w14:val="none"/>
        </w:rPr>
        <w:t>资讯中</w:t>
      </w:r>
      <w:smartTag w:uri="urn:schemas-microsoft-com:office:smarttags" w:element="chsdate">
        <w:smartTagPr>
          <w:attr w:name="Year" w:val="2008"/>
          <w:attr w:name="Month" w:val="1"/>
          <w:attr w:name="Day" w:val="1"/>
          <w:attr w:name="IsLunarDate" w:val="False"/>
          <w:attr w:name="IsROCDate" w:val="False"/>
        </w:smartTagPr>
        <w:r w:rsidRPr="0066147A">
          <w:rPr>
            <w:rFonts w:ascii="Times New Roman" w:eastAsia="宋体" w:hAnsi="Times New Roman" w:cs="Times New Roman"/>
            <w:sz w:val="24"/>
            <w14:ligatures w14:val="none"/>
          </w:rPr>
          <w:t>2008</w:t>
        </w:r>
        <w:r w:rsidRPr="0066147A">
          <w:rPr>
            <w:rFonts w:ascii="Times New Roman" w:eastAsia="宋体" w:hAnsi="Times New Roman" w:cs="Times New Roman"/>
            <w:sz w:val="24"/>
            <w14:ligatures w14:val="none"/>
          </w:rPr>
          <w:t>年</w:t>
        </w:r>
        <w:r w:rsidRPr="0066147A">
          <w:rPr>
            <w:rFonts w:ascii="Times New Roman" w:eastAsia="宋体" w:hAnsi="Times New Roman" w:cs="Times New Roman"/>
            <w:sz w:val="24"/>
            <w14:ligatures w14:val="none"/>
          </w:rPr>
          <w:t>1</w:t>
        </w:r>
        <w:r w:rsidRPr="0066147A">
          <w:rPr>
            <w:rFonts w:ascii="Times New Roman" w:eastAsia="宋体" w:hAnsi="Times New Roman" w:cs="Times New Roman"/>
            <w:sz w:val="24"/>
            <w14:ligatures w14:val="none"/>
          </w:rPr>
          <w:t>月</w:t>
        </w:r>
        <w:r w:rsidRPr="0066147A">
          <w:rPr>
            <w:rFonts w:ascii="Times New Roman" w:eastAsia="宋体" w:hAnsi="Times New Roman" w:cs="Times New Roman"/>
            <w:sz w:val="24"/>
            <w14:ligatures w14:val="none"/>
          </w:rPr>
          <w:t>1</w:t>
        </w:r>
        <w:r w:rsidRPr="0066147A">
          <w:rPr>
            <w:rFonts w:ascii="Times New Roman" w:eastAsia="宋体" w:hAnsi="Times New Roman" w:cs="Times New Roman"/>
            <w:sz w:val="24"/>
            <w14:ligatures w14:val="none"/>
          </w:rPr>
          <w:t>日</w:t>
        </w:r>
      </w:smartTag>
      <w:r w:rsidRPr="0066147A">
        <w:rPr>
          <w:rFonts w:ascii="Times New Roman" w:eastAsia="宋体" w:hAnsi="Times New Roman" w:cs="Times New Roman"/>
          <w:sz w:val="24"/>
          <w14:ligatures w14:val="none"/>
        </w:rPr>
        <w:t>至</w:t>
      </w:r>
      <w:smartTag w:uri="urn:schemas-microsoft-com:office:smarttags" w:element="chsdate">
        <w:smartTagPr>
          <w:attr w:name="Year" w:val="2009"/>
          <w:attr w:name="Month" w:val="7"/>
          <w:attr w:name="Day" w:val="8"/>
          <w:attr w:name="IsLunarDate" w:val="False"/>
          <w:attr w:name="IsROCDate" w:val="False"/>
        </w:smartTagPr>
        <w:r w:rsidRPr="0066147A">
          <w:rPr>
            <w:rFonts w:ascii="Times New Roman" w:eastAsia="宋体" w:hAnsi="Times New Roman" w:cs="Times New Roman"/>
            <w:sz w:val="24"/>
            <w14:ligatures w14:val="none"/>
          </w:rPr>
          <w:t>2009</w:t>
        </w:r>
        <w:r w:rsidRPr="0066147A">
          <w:rPr>
            <w:rFonts w:ascii="Times New Roman" w:eastAsia="宋体" w:hAnsi="Times New Roman" w:cs="Times New Roman"/>
            <w:sz w:val="24"/>
            <w14:ligatures w14:val="none"/>
          </w:rPr>
          <w:t>年</w:t>
        </w:r>
        <w:r w:rsidRPr="0066147A">
          <w:rPr>
            <w:rFonts w:ascii="Times New Roman" w:eastAsia="宋体" w:hAnsi="Times New Roman" w:cs="Times New Roman"/>
            <w:sz w:val="24"/>
            <w14:ligatures w14:val="none"/>
          </w:rPr>
          <w:t>7</w:t>
        </w:r>
        <w:r w:rsidRPr="0066147A">
          <w:rPr>
            <w:rFonts w:ascii="Times New Roman" w:eastAsia="宋体" w:hAnsi="Times New Roman" w:cs="Times New Roman"/>
            <w:sz w:val="24"/>
            <w14:ligatures w14:val="none"/>
          </w:rPr>
          <w:t>月</w:t>
        </w:r>
        <w:r w:rsidRPr="0066147A">
          <w:rPr>
            <w:rFonts w:ascii="Times New Roman" w:eastAsia="宋体" w:hAnsi="Times New Roman" w:cs="Times New Roman"/>
            <w:sz w:val="24"/>
            <w14:ligatures w14:val="none"/>
          </w:rPr>
          <w:t>8</w:t>
        </w:r>
        <w:r w:rsidRPr="0066147A">
          <w:rPr>
            <w:rFonts w:ascii="Times New Roman" w:eastAsia="宋体" w:hAnsi="Times New Roman" w:cs="Times New Roman"/>
            <w:sz w:val="24"/>
            <w14:ligatures w14:val="none"/>
          </w:rPr>
          <w:t>日</w:t>
        </w:r>
      </w:smartTag>
      <w:r w:rsidRPr="0066147A">
        <w:rPr>
          <w:rFonts w:ascii="Times New Roman" w:eastAsia="宋体" w:hAnsi="Times New Roman" w:cs="Times New Roman"/>
          <w:sz w:val="24"/>
          <w14:ligatures w14:val="none"/>
        </w:rPr>
        <w:t>期间上市的企业债券的相关数据，主要包括债券的基本信息、周债券行情、债券交易额</w:t>
      </w:r>
      <w:r w:rsidRPr="0066147A">
        <w:rPr>
          <w:rFonts w:ascii="Times New Roman" w:eastAsia="宋体" w:hAnsi="Times New Roman" w:cs="Times New Roman" w:hint="eastAsia"/>
          <w:sz w:val="24"/>
          <w14:ligatures w14:val="none"/>
        </w:rPr>
        <w:t>及</w:t>
      </w:r>
      <w:r w:rsidRPr="0066147A">
        <w:rPr>
          <w:rFonts w:ascii="Times New Roman" w:eastAsia="宋体" w:hAnsi="Times New Roman" w:cs="Times New Roman"/>
          <w:sz w:val="24"/>
          <w14:ligatures w14:val="none"/>
        </w:rPr>
        <w:t>债券发行额等。笔者未采用</w:t>
      </w:r>
      <w:r w:rsidRPr="0066147A">
        <w:rPr>
          <w:rFonts w:ascii="Times New Roman" w:eastAsia="宋体" w:hAnsi="Times New Roman" w:cs="Times New Roman"/>
          <w:sz w:val="24"/>
          <w14:ligatures w14:val="none"/>
        </w:rPr>
        <w:t>2008</w:t>
      </w:r>
      <w:r w:rsidRPr="0066147A">
        <w:rPr>
          <w:rFonts w:ascii="Times New Roman" w:eastAsia="宋体" w:hAnsi="Times New Roman" w:cs="Times New Roman"/>
          <w:sz w:val="24"/>
          <w14:ligatures w14:val="none"/>
        </w:rPr>
        <w:t>年以前的数据主要是因为这些债券的担保基本上是银行担保，担保主体单一，研究该类债券的市场流动性意义不大。由于中国保险监督管理委员会规定保险公司不能购买除</w:t>
      </w:r>
      <w:r w:rsidRPr="0066147A">
        <w:rPr>
          <w:rFonts w:ascii="Times New Roman" w:eastAsia="宋体" w:hAnsi="Times New Roman" w:cs="Times New Roman"/>
          <w:sz w:val="24"/>
          <w14:ligatures w14:val="none"/>
        </w:rPr>
        <w:t>AAA</w:t>
      </w:r>
      <w:r w:rsidRPr="0066147A">
        <w:rPr>
          <w:rFonts w:ascii="Times New Roman" w:eastAsia="宋体" w:hAnsi="Times New Roman" w:cs="Times New Roman"/>
          <w:sz w:val="24"/>
          <w14:ligatures w14:val="none"/>
        </w:rPr>
        <w:t>级</w:t>
      </w:r>
      <w:r w:rsidRPr="0066147A">
        <w:rPr>
          <w:rFonts w:ascii="Times New Roman" w:eastAsia="宋体" w:hAnsi="Times New Roman" w:cs="Times New Roman" w:hint="eastAsia"/>
          <w:sz w:val="24"/>
          <w14:ligatures w14:val="none"/>
        </w:rPr>
        <w:t>以</w:t>
      </w:r>
      <w:r w:rsidRPr="0066147A">
        <w:rPr>
          <w:rFonts w:ascii="Times New Roman" w:eastAsia="宋体" w:hAnsi="Times New Roman" w:cs="Times New Roman"/>
          <w:sz w:val="24"/>
          <w14:ligatures w14:val="none"/>
        </w:rPr>
        <w:t>外的无担保</w:t>
      </w:r>
      <w:r w:rsidRPr="0066147A">
        <w:rPr>
          <w:rFonts w:ascii="Times New Roman" w:eastAsia="宋体" w:hAnsi="Times New Roman" w:cs="Times New Roman" w:hint="eastAsia"/>
          <w:sz w:val="24"/>
          <w14:ligatures w14:val="none"/>
        </w:rPr>
        <w:t>企业（公司）</w:t>
      </w:r>
      <w:r w:rsidRPr="0066147A">
        <w:rPr>
          <w:rFonts w:ascii="Times New Roman" w:eastAsia="宋体" w:hAnsi="Times New Roman" w:cs="Times New Roman"/>
          <w:sz w:val="24"/>
          <w14:ligatures w14:val="none"/>
        </w:rPr>
        <w:t>债券</w:t>
      </w:r>
      <w:r w:rsidRPr="0066147A">
        <w:rPr>
          <w:rFonts w:ascii="Times New Roman" w:eastAsia="宋体" w:hAnsi="Times New Roman" w:cs="Times New Roman" w:hint="eastAsia"/>
          <w:sz w:val="24"/>
          <w14:ligatures w14:val="none"/>
        </w:rPr>
        <w:t>以及长期信用等级在</w:t>
      </w:r>
      <w:r w:rsidRPr="0066147A">
        <w:rPr>
          <w:rFonts w:ascii="Times New Roman" w:eastAsia="宋体" w:hAnsi="Times New Roman" w:cs="Times New Roman" w:hint="eastAsia"/>
          <w:sz w:val="24"/>
          <w14:ligatures w14:val="none"/>
        </w:rPr>
        <w:t>AA</w:t>
      </w:r>
      <w:r w:rsidRPr="0066147A">
        <w:rPr>
          <w:rFonts w:ascii="Times New Roman" w:eastAsia="宋体" w:hAnsi="Times New Roman" w:cs="Times New Roman" w:hint="eastAsia"/>
          <w:sz w:val="24"/>
          <w14:ligatures w14:val="none"/>
        </w:rPr>
        <w:t>以下（不含</w:t>
      </w:r>
      <w:r w:rsidRPr="0066147A">
        <w:rPr>
          <w:rFonts w:ascii="Times New Roman" w:eastAsia="宋体" w:hAnsi="Times New Roman" w:cs="Times New Roman" w:hint="eastAsia"/>
          <w:sz w:val="24"/>
          <w14:ligatures w14:val="none"/>
        </w:rPr>
        <w:t>AA</w:t>
      </w:r>
      <w:r w:rsidRPr="0066147A">
        <w:rPr>
          <w:rFonts w:ascii="Times New Roman" w:eastAsia="宋体" w:hAnsi="Times New Roman" w:cs="Times New Roman" w:hint="eastAsia"/>
          <w:sz w:val="24"/>
          <w14:ligatures w14:val="none"/>
        </w:rPr>
        <w:t>）的企业（公司）债券</w:t>
      </w:r>
      <w:r w:rsidRPr="0066147A">
        <w:rPr>
          <w:rFonts w:ascii="Times New Roman" w:eastAsia="宋体" w:hAnsi="Times New Roman" w:cs="Times New Roman"/>
          <w:sz w:val="24"/>
          <w14:ligatures w14:val="none"/>
        </w:rPr>
        <w:t>，</w:t>
      </w:r>
      <w:r w:rsidRPr="0066147A">
        <w:rPr>
          <w:rFonts w:ascii="Times New Roman" w:eastAsia="宋体" w:hAnsi="Times New Roman" w:cs="Times New Roman" w:hint="eastAsia"/>
          <w:sz w:val="24"/>
          <w14:ligatures w14:val="none"/>
        </w:rPr>
        <w:t>因此，</w:t>
      </w:r>
      <w:r w:rsidRPr="0066147A">
        <w:rPr>
          <w:rFonts w:ascii="Times New Roman" w:eastAsia="宋体" w:hAnsi="Times New Roman" w:cs="Times New Roman"/>
          <w:sz w:val="24"/>
          <w14:ligatures w14:val="none"/>
        </w:rPr>
        <w:t>为了排除该政策性因素对债券流动性的影响</w:t>
      </w:r>
      <w:r w:rsidRPr="0066147A">
        <w:rPr>
          <w:rFonts w:ascii="Times New Roman" w:eastAsia="宋体" w:hAnsi="Times New Roman" w:cs="Times New Roman"/>
          <w:sz w:val="24"/>
          <w:vertAlign w:val="superscript"/>
          <w14:ligatures w14:val="none"/>
        </w:rPr>
        <w:footnoteReference w:id="1"/>
      </w:r>
      <w:r w:rsidRPr="0066147A">
        <w:rPr>
          <w:rFonts w:ascii="Times New Roman" w:eastAsia="宋体" w:hAnsi="Times New Roman" w:cs="Times New Roman"/>
          <w:sz w:val="24"/>
          <w14:ligatures w14:val="none"/>
        </w:rPr>
        <w:t>，笔者剔除了非</w:t>
      </w:r>
      <w:r w:rsidRPr="0066147A">
        <w:rPr>
          <w:rFonts w:ascii="Times New Roman" w:eastAsia="宋体" w:hAnsi="Times New Roman" w:cs="Times New Roman"/>
          <w:sz w:val="24"/>
          <w14:ligatures w14:val="none"/>
        </w:rPr>
        <w:t>AAA</w:t>
      </w:r>
      <w:r w:rsidRPr="0066147A">
        <w:rPr>
          <w:rFonts w:ascii="Times New Roman" w:eastAsia="宋体" w:hAnsi="Times New Roman" w:cs="Times New Roman"/>
          <w:sz w:val="24"/>
          <w14:ligatures w14:val="none"/>
        </w:rPr>
        <w:t>级无担保债券</w:t>
      </w:r>
      <w:r w:rsidRPr="0066147A">
        <w:rPr>
          <w:rFonts w:ascii="Times New Roman" w:eastAsia="宋体" w:hAnsi="Times New Roman" w:cs="Times New Roman" w:hint="eastAsia"/>
          <w:sz w:val="24"/>
          <w14:ligatures w14:val="none"/>
        </w:rPr>
        <w:t>以及债券信用等级低于</w:t>
      </w:r>
      <w:r w:rsidRPr="0066147A">
        <w:rPr>
          <w:rFonts w:ascii="Times New Roman" w:eastAsia="宋体" w:hAnsi="Times New Roman" w:cs="Times New Roman" w:hint="eastAsia"/>
          <w:sz w:val="24"/>
          <w14:ligatures w14:val="none"/>
        </w:rPr>
        <w:t>AA</w:t>
      </w:r>
      <w:r w:rsidRPr="0066147A">
        <w:rPr>
          <w:rFonts w:ascii="Times New Roman" w:eastAsia="宋体" w:hAnsi="Times New Roman" w:cs="Times New Roman" w:hint="eastAsia"/>
          <w:sz w:val="24"/>
          <w14:ligatures w14:val="none"/>
        </w:rPr>
        <w:t>的债券</w:t>
      </w:r>
      <w:r w:rsidRPr="0066147A">
        <w:rPr>
          <w:rFonts w:ascii="Times New Roman" w:eastAsia="宋体" w:hAnsi="Times New Roman" w:cs="Times New Roman"/>
          <w:sz w:val="24"/>
          <w14:ligatures w14:val="none"/>
        </w:rPr>
        <w:t>，另外，还剔除如交易数据不全以及主体级别低于</w:t>
      </w:r>
      <w:r w:rsidRPr="0066147A">
        <w:rPr>
          <w:rFonts w:ascii="Times New Roman" w:eastAsia="宋体" w:hAnsi="Times New Roman" w:cs="Times New Roman"/>
          <w:sz w:val="24"/>
          <w14:ligatures w14:val="none"/>
        </w:rPr>
        <w:t>AA-</w:t>
      </w:r>
      <w:r w:rsidRPr="0066147A">
        <w:rPr>
          <w:rFonts w:ascii="Times New Roman" w:eastAsia="宋体" w:hAnsi="Times New Roman" w:cs="Times New Roman"/>
          <w:sz w:val="24"/>
          <w14:ligatures w14:val="none"/>
        </w:rPr>
        <w:t>等无效样本，最终一共取得</w:t>
      </w:r>
      <w:r w:rsidRPr="0066147A">
        <w:rPr>
          <w:rFonts w:ascii="Times New Roman" w:eastAsia="宋体" w:hAnsi="Times New Roman" w:cs="Times New Roman"/>
          <w:sz w:val="24"/>
          <w14:ligatures w14:val="none"/>
        </w:rPr>
        <w:t>31</w:t>
      </w:r>
      <w:r w:rsidRPr="0066147A">
        <w:rPr>
          <w:rFonts w:ascii="Times New Roman" w:eastAsia="宋体" w:hAnsi="Times New Roman" w:cs="Times New Roman"/>
          <w:sz w:val="24"/>
          <w14:ligatures w14:val="none"/>
        </w:rPr>
        <w:t>只债券样本（如表</w:t>
      </w:r>
      <w:r w:rsidRPr="0066147A">
        <w:rPr>
          <w:rFonts w:ascii="Times New Roman" w:eastAsia="宋体" w:hAnsi="Times New Roman" w:cs="Times New Roman" w:hint="eastAsia"/>
          <w:sz w:val="24"/>
          <w14:ligatures w14:val="none"/>
        </w:rPr>
        <w:t>4</w:t>
      </w:r>
      <w:r w:rsidRPr="0066147A">
        <w:rPr>
          <w:rFonts w:ascii="Times New Roman" w:eastAsia="宋体" w:hAnsi="Times New Roman" w:cs="Times New Roman"/>
          <w:sz w:val="24"/>
          <w14:ligatures w14:val="none"/>
        </w:rPr>
        <w:t>.</w:t>
      </w:r>
      <w:r w:rsidRPr="0066147A">
        <w:rPr>
          <w:rFonts w:ascii="Times New Roman" w:eastAsia="宋体" w:hAnsi="Times New Roman" w:cs="Times New Roman" w:hint="eastAsia"/>
          <w:sz w:val="24"/>
          <w14:ligatures w14:val="none"/>
        </w:rPr>
        <w:t>2</w:t>
      </w:r>
      <w:r w:rsidRPr="0066147A">
        <w:rPr>
          <w:rFonts w:ascii="Times New Roman" w:eastAsia="宋体" w:hAnsi="Times New Roman" w:cs="Times New Roman"/>
          <w:sz w:val="24"/>
          <w14:ligatures w14:val="none"/>
        </w:rPr>
        <w:t>）。笔者采用这</w:t>
      </w:r>
      <w:r w:rsidRPr="0066147A">
        <w:rPr>
          <w:rFonts w:ascii="Times New Roman" w:eastAsia="宋体" w:hAnsi="Times New Roman" w:cs="Times New Roman"/>
          <w:sz w:val="24"/>
          <w14:ligatures w14:val="none"/>
        </w:rPr>
        <w:t>31</w:t>
      </w:r>
      <w:r w:rsidRPr="0066147A">
        <w:rPr>
          <w:rFonts w:ascii="Times New Roman" w:eastAsia="宋体" w:hAnsi="Times New Roman" w:cs="Times New Roman"/>
          <w:sz w:val="24"/>
          <w14:ligatures w14:val="none"/>
        </w:rPr>
        <w:t>只债券自发行日起的周时间序列数据作为研究对象进行实证分析，实证分析数据描述性统计如表</w:t>
      </w:r>
      <w:r w:rsidRPr="0066147A">
        <w:rPr>
          <w:rFonts w:ascii="Times New Roman" w:eastAsia="宋体" w:hAnsi="Times New Roman" w:cs="Times New Roman" w:hint="eastAsia"/>
          <w:sz w:val="24"/>
          <w14:ligatures w14:val="none"/>
        </w:rPr>
        <w:t>4</w:t>
      </w:r>
      <w:r w:rsidRPr="0066147A">
        <w:rPr>
          <w:rFonts w:ascii="Times New Roman" w:eastAsia="宋体" w:hAnsi="Times New Roman" w:cs="Times New Roman"/>
          <w:sz w:val="24"/>
          <w14:ligatures w14:val="none"/>
        </w:rPr>
        <w:t>.</w:t>
      </w:r>
      <w:r w:rsidRPr="0066147A">
        <w:rPr>
          <w:rFonts w:ascii="Times New Roman" w:eastAsia="宋体" w:hAnsi="Times New Roman" w:cs="Times New Roman" w:hint="eastAsia"/>
          <w:sz w:val="24"/>
          <w14:ligatures w14:val="none"/>
        </w:rPr>
        <w:t>3</w:t>
      </w:r>
      <w:r w:rsidRPr="0066147A">
        <w:rPr>
          <w:rFonts w:ascii="Times New Roman" w:eastAsia="宋体" w:hAnsi="Times New Roman" w:cs="Times New Roman"/>
          <w:sz w:val="24"/>
          <w14:ligatures w14:val="none"/>
        </w:rPr>
        <w:t>。</w:t>
      </w:r>
    </w:p>
    <w:p w14:paraId="6248DCD4" w14:textId="32E264A1" w:rsidR="0066147A" w:rsidRPr="0066147A" w:rsidRDefault="0066147A" w:rsidP="0066147A">
      <w:pPr>
        <w:spacing w:beforeLines="100" w:before="312" w:after="0" w:line="240" w:lineRule="auto"/>
        <w:jc w:val="center"/>
        <w:rPr>
          <w:rFonts w:ascii="Times New Roman" w:eastAsia="新宋体" w:hAnsi="新宋体" w:cs="Times New Roman" w:hint="eastAsia"/>
          <w:sz w:val="21"/>
          <w:szCs w:val="21"/>
          <w14:ligatures w14:val="none"/>
        </w:rPr>
      </w:pPr>
      <w:bookmarkStart w:id="7" w:name="_Toc246425334"/>
      <w:bookmarkStart w:id="8" w:name="_Toc256506405"/>
      <w:r w:rsidRPr="0066147A">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2</w:t>
      </w:r>
      <w:r w:rsidRPr="0066147A">
        <w:rPr>
          <w:rFonts w:ascii="Times New Roman" w:eastAsia="新宋体" w:hAnsi="新宋体" w:cs="Times New Roman" w:hint="eastAsia"/>
          <w:sz w:val="21"/>
          <w:szCs w:val="21"/>
          <w14:ligatures w14:val="none"/>
        </w:rPr>
        <w:t xml:space="preserve">  </w:t>
      </w:r>
      <w:r w:rsidRPr="0066147A">
        <w:rPr>
          <w:rFonts w:ascii="Times New Roman" w:eastAsia="新宋体" w:hAnsi="新宋体" w:cs="Times New Roman" w:hint="eastAsia"/>
          <w:sz w:val="21"/>
          <w:szCs w:val="21"/>
          <w14:ligatures w14:val="none"/>
        </w:rPr>
        <w:t>实证分析样本</w:t>
      </w:r>
      <w:bookmarkEnd w:id="7"/>
      <w:bookmarkEnd w:id="8"/>
    </w:p>
    <w:p w14:paraId="204C97F8" w14:textId="2405AE8F" w:rsidR="0066147A" w:rsidRPr="0066147A" w:rsidRDefault="0066147A" w:rsidP="0066147A">
      <w:pPr>
        <w:keepNext/>
        <w:spacing w:after="0" w:line="240" w:lineRule="auto"/>
        <w:jc w:val="center"/>
        <w:rPr>
          <w:rFonts w:ascii="Times New Roman" w:eastAsia="宋体" w:hAnsi="Times New Roman" w:cs="Times New Roman"/>
          <w:sz w:val="21"/>
          <w:szCs w:val="21"/>
          <w14:ligatures w14:val="none"/>
        </w:rPr>
      </w:pPr>
      <w:r w:rsidRPr="0066147A">
        <w:rPr>
          <w:rFonts w:ascii="Times New Roman" w:eastAsia="宋体" w:hAnsi="Times New Roman" w:cs="Times New Roman" w:hint="eastAsia"/>
          <w:sz w:val="21"/>
          <w:szCs w:val="21"/>
          <w14:ligatures w14:val="none"/>
        </w:rPr>
        <w:t xml:space="preserve">Table </w:t>
      </w:r>
      <w:proofErr w:type="gramStart"/>
      <w:r>
        <w:rPr>
          <w:rFonts w:ascii="Times New Roman" w:eastAsia="宋体" w:hAnsi="Times New Roman" w:cs="Times New Roman" w:hint="eastAsia"/>
          <w:sz w:val="21"/>
          <w:szCs w:val="21"/>
          <w14:ligatures w14:val="none"/>
        </w:rPr>
        <w:t>2</w:t>
      </w:r>
      <w:r w:rsidRPr="0066147A">
        <w:rPr>
          <w:rFonts w:ascii="Times New Roman" w:eastAsia="宋体" w:hAnsi="Times New Roman" w:cs="Times New Roman" w:hint="eastAsia"/>
          <w:sz w:val="21"/>
          <w:szCs w:val="21"/>
          <w14:ligatures w14:val="none"/>
        </w:rPr>
        <w:t xml:space="preserve">  </w:t>
      </w:r>
      <w:r w:rsidRPr="0066147A">
        <w:rPr>
          <w:rFonts w:ascii="Times New Roman" w:eastAsia="宋体" w:hAnsi="Times New Roman" w:cs="Times New Roman"/>
          <w:sz w:val="21"/>
          <w:szCs w:val="21"/>
          <w14:ligatures w14:val="none"/>
        </w:rPr>
        <w:t>Analysis</w:t>
      </w:r>
      <w:proofErr w:type="gramEnd"/>
      <w:r w:rsidRPr="0066147A">
        <w:rPr>
          <w:rFonts w:ascii="Times New Roman" w:eastAsia="宋体" w:hAnsi="Times New Roman" w:cs="Times New Roman"/>
          <w:sz w:val="21"/>
          <w:szCs w:val="21"/>
          <w14:ligatures w14:val="none"/>
        </w:rPr>
        <w:t xml:space="preserve"> sample</w:t>
      </w:r>
      <w:r w:rsidRPr="0066147A">
        <w:rPr>
          <w:rFonts w:ascii="Times New Roman" w:eastAsia="宋体" w:hAnsi="Times New Roman" w:cs="Times New Roman" w:hint="eastAsia"/>
          <w:sz w:val="21"/>
          <w:szCs w:val="21"/>
          <w14:ligatures w14:val="none"/>
        </w:rPr>
        <w:t xml:space="preserve"> of </w:t>
      </w:r>
      <w:r w:rsidRPr="0066147A">
        <w:rPr>
          <w:rFonts w:ascii="Times New Roman" w:eastAsia="宋体" w:hAnsi="Times New Roman" w:cs="Times New Roman"/>
          <w:sz w:val="21"/>
          <w:szCs w:val="21"/>
          <w14:ligatures w14:val="none"/>
        </w:rPr>
        <w:t>demonstration</w:t>
      </w:r>
    </w:p>
    <w:tbl>
      <w:tblPr>
        <w:tblW w:w="0" w:type="auto"/>
        <w:tblBorders>
          <w:top w:val="single" w:sz="4" w:space="0" w:color="auto"/>
          <w:bottom w:val="single" w:sz="4" w:space="0" w:color="auto"/>
        </w:tblBorders>
        <w:tblLook w:val="01E0" w:firstRow="1" w:lastRow="1" w:firstColumn="1" w:lastColumn="1" w:noHBand="0" w:noVBand="0"/>
      </w:tblPr>
      <w:tblGrid>
        <w:gridCol w:w="1175"/>
        <w:gridCol w:w="1185"/>
        <w:gridCol w:w="1197"/>
        <w:gridCol w:w="1179"/>
        <w:gridCol w:w="1202"/>
        <w:gridCol w:w="1184"/>
        <w:gridCol w:w="1184"/>
      </w:tblGrid>
      <w:tr w:rsidR="0066147A" w:rsidRPr="0066147A" w14:paraId="2B9850F8" w14:textId="77777777" w:rsidTr="00DB24B0">
        <w:tc>
          <w:tcPr>
            <w:tcW w:w="1217" w:type="dxa"/>
            <w:tcBorders>
              <w:top w:val="single" w:sz="4" w:space="0" w:color="auto"/>
              <w:bottom w:val="single" w:sz="4" w:space="0" w:color="auto"/>
            </w:tcBorders>
            <w:vAlign w:val="center"/>
          </w:tcPr>
          <w:p w14:paraId="356ECE99"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债券名称</w:t>
            </w:r>
          </w:p>
        </w:tc>
        <w:tc>
          <w:tcPr>
            <w:tcW w:w="1217" w:type="dxa"/>
            <w:tcBorders>
              <w:top w:val="single" w:sz="4" w:space="0" w:color="auto"/>
              <w:bottom w:val="single" w:sz="4" w:space="0" w:color="auto"/>
            </w:tcBorders>
            <w:vAlign w:val="center"/>
          </w:tcPr>
          <w:p w14:paraId="76F8A4B0" w14:textId="77777777" w:rsidR="0066147A" w:rsidRPr="0066147A" w:rsidRDefault="0066147A" w:rsidP="0066147A">
            <w:pPr>
              <w:spacing w:after="0" w:line="240" w:lineRule="auto"/>
              <w:jc w:val="both"/>
              <w:rPr>
                <w:rFonts w:ascii="Times New Roman" w:eastAsia="宋体" w:hAnsi="Times New Roman" w:cs="Times New Roman" w:hint="eastAsia"/>
                <w:sz w:val="21"/>
                <w14:ligatures w14:val="none"/>
              </w:rPr>
            </w:pPr>
            <w:r w:rsidRPr="0066147A">
              <w:rPr>
                <w:rFonts w:ascii="Times New Roman" w:eastAsia="宋体" w:hAnsi="Times New Roman" w:cs="Times New Roman"/>
                <w:sz w:val="21"/>
                <w14:ligatures w14:val="none"/>
              </w:rPr>
              <w:t>发行额</w:t>
            </w:r>
          </w:p>
          <w:p w14:paraId="3BD2DD5D"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（亿元）</w:t>
            </w:r>
          </w:p>
        </w:tc>
        <w:tc>
          <w:tcPr>
            <w:tcW w:w="1217" w:type="dxa"/>
            <w:tcBorders>
              <w:top w:val="single" w:sz="4" w:space="0" w:color="auto"/>
              <w:bottom w:val="single" w:sz="4" w:space="0" w:color="auto"/>
            </w:tcBorders>
            <w:vAlign w:val="center"/>
          </w:tcPr>
          <w:p w14:paraId="23830224"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发行期限（年）</w:t>
            </w:r>
          </w:p>
        </w:tc>
        <w:tc>
          <w:tcPr>
            <w:tcW w:w="1217" w:type="dxa"/>
            <w:tcBorders>
              <w:top w:val="single" w:sz="4" w:space="0" w:color="auto"/>
              <w:bottom w:val="single" w:sz="4" w:space="0" w:color="auto"/>
            </w:tcBorders>
            <w:vAlign w:val="center"/>
          </w:tcPr>
          <w:p w14:paraId="73F5F23F"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票面利率</w:t>
            </w:r>
          </w:p>
        </w:tc>
        <w:tc>
          <w:tcPr>
            <w:tcW w:w="1218" w:type="dxa"/>
            <w:tcBorders>
              <w:top w:val="single" w:sz="4" w:space="0" w:color="auto"/>
              <w:bottom w:val="single" w:sz="4" w:space="0" w:color="auto"/>
            </w:tcBorders>
            <w:vAlign w:val="center"/>
          </w:tcPr>
          <w:p w14:paraId="3D5B4C8E"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发行日期</w:t>
            </w:r>
          </w:p>
        </w:tc>
        <w:tc>
          <w:tcPr>
            <w:tcW w:w="1218" w:type="dxa"/>
            <w:tcBorders>
              <w:top w:val="single" w:sz="4" w:space="0" w:color="auto"/>
              <w:bottom w:val="single" w:sz="4" w:space="0" w:color="auto"/>
            </w:tcBorders>
            <w:vAlign w:val="center"/>
          </w:tcPr>
          <w:p w14:paraId="7294AC30" w14:textId="77777777" w:rsidR="0066147A" w:rsidRPr="0066147A" w:rsidRDefault="0066147A" w:rsidP="0066147A">
            <w:pPr>
              <w:spacing w:after="0" w:line="240" w:lineRule="auto"/>
              <w:jc w:val="both"/>
              <w:rPr>
                <w:rFonts w:ascii="Times New Roman" w:eastAsia="宋体" w:hAnsi="Times New Roman" w:cs="Times New Roman" w:hint="eastAsia"/>
                <w:sz w:val="21"/>
                <w14:ligatures w14:val="none"/>
              </w:rPr>
            </w:pPr>
            <w:r w:rsidRPr="0066147A">
              <w:rPr>
                <w:rFonts w:ascii="Times New Roman" w:eastAsia="宋体" w:hAnsi="Times New Roman" w:cs="Times New Roman"/>
                <w:sz w:val="21"/>
                <w14:ligatures w14:val="none"/>
              </w:rPr>
              <w:t>债</w:t>
            </w:r>
            <w:r w:rsidRPr="0066147A">
              <w:rPr>
                <w:rFonts w:ascii="Times New Roman" w:eastAsia="宋体" w:hAnsi="Times New Roman" w:cs="Times New Roman" w:hint="eastAsia"/>
                <w:sz w:val="21"/>
                <w14:ligatures w14:val="none"/>
              </w:rPr>
              <w:t>券</w:t>
            </w:r>
            <w:r w:rsidRPr="0066147A">
              <w:rPr>
                <w:rFonts w:ascii="Times New Roman" w:eastAsia="宋体" w:hAnsi="Times New Roman" w:cs="Times New Roman"/>
                <w:sz w:val="21"/>
                <w14:ligatures w14:val="none"/>
              </w:rPr>
              <w:t>信</w:t>
            </w:r>
          </w:p>
          <w:p w14:paraId="4C9EAE04"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用等级</w:t>
            </w:r>
          </w:p>
        </w:tc>
        <w:tc>
          <w:tcPr>
            <w:tcW w:w="1218" w:type="dxa"/>
            <w:tcBorders>
              <w:top w:val="single" w:sz="4" w:space="0" w:color="auto"/>
              <w:bottom w:val="single" w:sz="4" w:space="0" w:color="auto"/>
            </w:tcBorders>
            <w:vAlign w:val="center"/>
          </w:tcPr>
          <w:p w14:paraId="7E869D9A" w14:textId="77777777" w:rsidR="0066147A" w:rsidRPr="0066147A" w:rsidRDefault="0066147A" w:rsidP="0066147A">
            <w:pPr>
              <w:spacing w:after="0" w:line="240" w:lineRule="auto"/>
              <w:jc w:val="both"/>
              <w:rPr>
                <w:rFonts w:ascii="Times New Roman" w:eastAsia="宋体" w:hAnsi="Times New Roman" w:cs="Times New Roman" w:hint="eastAsia"/>
                <w:sz w:val="21"/>
                <w14:ligatures w14:val="none"/>
              </w:rPr>
            </w:pPr>
            <w:r w:rsidRPr="0066147A">
              <w:rPr>
                <w:rFonts w:ascii="Times New Roman" w:eastAsia="宋体" w:hAnsi="Times New Roman" w:cs="Times New Roman"/>
                <w:sz w:val="21"/>
                <w14:ligatures w14:val="none"/>
              </w:rPr>
              <w:t>主体信</w:t>
            </w:r>
          </w:p>
          <w:p w14:paraId="0D590819"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用等级</w:t>
            </w:r>
          </w:p>
        </w:tc>
      </w:tr>
      <w:tr w:rsidR="0066147A" w:rsidRPr="0066147A" w14:paraId="03887A3D" w14:textId="77777777" w:rsidTr="00DB24B0">
        <w:tc>
          <w:tcPr>
            <w:tcW w:w="1217" w:type="dxa"/>
            <w:tcBorders>
              <w:top w:val="single" w:sz="4" w:space="0" w:color="auto"/>
            </w:tcBorders>
            <w:vAlign w:val="center"/>
          </w:tcPr>
          <w:p w14:paraId="0D67022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r w:rsidRPr="0066147A">
              <w:rPr>
                <w:rFonts w:ascii="Times New Roman" w:eastAsia="宋体" w:hAnsi="Times New Roman" w:cs="Times New Roman"/>
                <w:sz w:val="18"/>
                <w:szCs w:val="18"/>
                <w14:ligatures w14:val="none"/>
              </w:rPr>
              <w:t>保利债</w:t>
            </w:r>
          </w:p>
        </w:tc>
        <w:tc>
          <w:tcPr>
            <w:tcW w:w="1217" w:type="dxa"/>
            <w:tcBorders>
              <w:top w:val="single" w:sz="4" w:space="0" w:color="auto"/>
            </w:tcBorders>
            <w:vAlign w:val="center"/>
          </w:tcPr>
          <w:p w14:paraId="43CB482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43</w:t>
            </w:r>
          </w:p>
        </w:tc>
        <w:tc>
          <w:tcPr>
            <w:tcW w:w="1217" w:type="dxa"/>
            <w:tcBorders>
              <w:top w:val="single" w:sz="4" w:space="0" w:color="auto"/>
            </w:tcBorders>
            <w:vAlign w:val="center"/>
          </w:tcPr>
          <w:p w14:paraId="689B9E7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w:t>
            </w:r>
          </w:p>
        </w:tc>
        <w:tc>
          <w:tcPr>
            <w:tcW w:w="1217" w:type="dxa"/>
            <w:tcBorders>
              <w:top w:val="single" w:sz="4" w:space="0" w:color="auto"/>
            </w:tcBorders>
            <w:vAlign w:val="center"/>
          </w:tcPr>
          <w:p w14:paraId="351A1737"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8" w:type="dxa"/>
            <w:tcBorders>
              <w:top w:val="single" w:sz="4" w:space="0" w:color="auto"/>
            </w:tcBorders>
            <w:vAlign w:val="center"/>
          </w:tcPr>
          <w:p w14:paraId="44F95B5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20080711</w:t>
            </w:r>
          </w:p>
        </w:tc>
        <w:tc>
          <w:tcPr>
            <w:tcW w:w="1218" w:type="dxa"/>
            <w:tcBorders>
              <w:top w:val="single" w:sz="4" w:space="0" w:color="auto"/>
            </w:tcBorders>
            <w:vAlign w:val="center"/>
          </w:tcPr>
          <w:p w14:paraId="2D32FC7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tcBorders>
              <w:top w:val="single" w:sz="4" w:space="0" w:color="auto"/>
            </w:tcBorders>
            <w:vAlign w:val="center"/>
          </w:tcPr>
          <w:p w14:paraId="180B45F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5AFE3565" w14:textId="77777777" w:rsidTr="00DB24B0">
        <w:tc>
          <w:tcPr>
            <w:tcW w:w="1217" w:type="dxa"/>
            <w:vAlign w:val="center"/>
          </w:tcPr>
          <w:p w14:paraId="25C637A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proofErr w:type="gramStart"/>
            <w:r w:rsidRPr="0066147A">
              <w:rPr>
                <w:rFonts w:ascii="Times New Roman" w:eastAsia="宋体" w:hAnsi="Times New Roman" w:cs="Times New Roman"/>
                <w:sz w:val="18"/>
                <w:szCs w:val="18"/>
                <w14:ligatures w14:val="none"/>
              </w:rPr>
              <w:t>莱钢债</w:t>
            </w:r>
            <w:proofErr w:type="gramEnd"/>
          </w:p>
        </w:tc>
        <w:tc>
          <w:tcPr>
            <w:tcW w:w="1217" w:type="dxa"/>
            <w:vAlign w:val="center"/>
          </w:tcPr>
          <w:p w14:paraId="4051ABB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w:t>
            </w:r>
          </w:p>
        </w:tc>
        <w:tc>
          <w:tcPr>
            <w:tcW w:w="1217" w:type="dxa"/>
            <w:vAlign w:val="center"/>
          </w:tcPr>
          <w:p w14:paraId="1834EE6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10</w:t>
            </w:r>
          </w:p>
        </w:tc>
        <w:tc>
          <w:tcPr>
            <w:tcW w:w="1217" w:type="dxa"/>
            <w:vAlign w:val="center"/>
          </w:tcPr>
          <w:p w14:paraId="41AAF9B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6.55</w:t>
            </w:r>
          </w:p>
        </w:tc>
        <w:tc>
          <w:tcPr>
            <w:tcW w:w="1218" w:type="dxa"/>
            <w:vAlign w:val="center"/>
          </w:tcPr>
          <w:p w14:paraId="573A33C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20080325</w:t>
            </w:r>
          </w:p>
        </w:tc>
        <w:tc>
          <w:tcPr>
            <w:tcW w:w="1218" w:type="dxa"/>
            <w:vAlign w:val="center"/>
          </w:tcPr>
          <w:p w14:paraId="6EE1146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4BD8E60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7FF0758F" w14:textId="77777777" w:rsidTr="00DB24B0">
        <w:tc>
          <w:tcPr>
            <w:tcW w:w="1217" w:type="dxa"/>
            <w:vAlign w:val="center"/>
          </w:tcPr>
          <w:p w14:paraId="6553582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proofErr w:type="gramStart"/>
            <w:r w:rsidRPr="0066147A">
              <w:rPr>
                <w:rFonts w:ascii="Times New Roman" w:eastAsia="宋体" w:hAnsi="Times New Roman" w:cs="Times New Roman"/>
                <w:sz w:val="18"/>
                <w:szCs w:val="18"/>
                <w14:ligatures w14:val="none"/>
              </w:rPr>
              <w:t>昆建债</w:t>
            </w:r>
            <w:proofErr w:type="gramEnd"/>
          </w:p>
        </w:tc>
        <w:tc>
          <w:tcPr>
            <w:tcW w:w="1217" w:type="dxa"/>
            <w:vAlign w:val="center"/>
          </w:tcPr>
          <w:p w14:paraId="4968CE2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15</w:t>
            </w:r>
          </w:p>
        </w:tc>
        <w:tc>
          <w:tcPr>
            <w:tcW w:w="1217" w:type="dxa"/>
            <w:vAlign w:val="center"/>
          </w:tcPr>
          <w:p w14:paraId="54BA1BD7"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w:t>
            </w:r>
          </w:p>
        </w:tc>
        <w:tc>
          <w:tcPr>
            <w:tcW w:w="1217" w:type="dxa"/>
            <w:vAlign w:val="center"/>
          </w:tcPr>
          <w:p w14:paraId="02CAE73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6.12</w:t>
            </w:r>
          </w:p>
        </w:tc>
        <w:tc>
          <w:tcPr>
            <w:tcW w:w="1218" w:type="dxa"/>
            <w:vAlign w:val="center"/>
          </w:tcPr>
          <w:p w14:paraId="3D15EAB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20080402</w:t>
            </w:r>
          </w:p>
        </w:tc>
        <w:tc>
          <w:tcPr>
            <w:tcW w:w="1218" w:type="dxa"/>
            <w:vAlign w:val="center"/>
          </w:tcPr>
          <w:p w14:paraId="0CDA93B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3861185D"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6E3FD4F4" w14:textId="77777777" w:rsidTr="00DB24B0">
        <w:tc>
          <w:tcPr>
            <w:tcW w:w="1217" w:type="dxa"/>
            <w:vAlign w:val="center"/>
          </w:tcPr>
          <w:p w14:paraId="46DADD9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proofErr w:type="gramStart"/>
            <w:r w:rsidRPr="0066147A">
              <w:rPr>
                <w:rFonts w:ascii="Times New Roman" w:eastAsia="宋体" w:hAnsi="Times New Roman" w:cs="Times New Roman"/>
                <w:sz w:val="18"/>
                <w:szCs w:val="18"/>
                <w14:ligatures w14:val="none"/>
              </w:rPr>
              <w:t>西基投</w:t>
            </w:r>
            <w:proofErr w:type="gramEnd"/>
          </w:p>
        </w:tc>
        <w:tc>
          <w:tcPr>
            <w:tcW w:w="1217" w:type="dxa"/>
            <w:vAlign w:val="center"/>
          </w:tcPr>
          <w:p w14:paraId="5574DB2D"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15</w:t>
            </w:r>
          </w:p>
        </w:tc>
        <w:tc>
          <w:tcPr>
            <w:tcW w:w="1217" w:type="dxa"/>
            <w:vAlign w:val="center"/>
          </w:tcPr>
          <w:p w14:paraId="7F0932F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w:t>
            </w:r>
          </w:p>
        </w:tc>
        <w:tc>
          <w:tcPr>
            <w:tcW w:w="1217" w:type="dxa"/>
            <w:vAlign w:val="center"/>
          </w:tcPr>
          <w:p w14:paraId="1EF479C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6.7</w:t>
            </w:r>
          </w:p>
        </w:tc>
        <w:tc>
          <w:tcPr>
            <w:tcW w:w="1218" w:type="dxa"/>
            <w:vAlign w:val="center"/>
          </w:tcPr>
          <w:p w14:paraId="23F1B27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20080402</w:t>
            </w:r>
          </w:p>
        </w:tc>
        <w:tc>
          <w:tcPr>
            <w:tcW w:w="1218" w:type="dxa"/>
            <w:vAlign w:val="center"/>
          </w:tcPr>
          <w:p w14:paraId="0A588F3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027C1BB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7995722B" w14:textId="77777777" w:rsidTr="00DB24B0">
        <w:tc>
          <w:tcPr>
            <w:tcW w:w="1217" w:type="dxa"/>
            <w:vAlign w:val="center"/>
          </w:tcPr>
          <w:p w14:paraId="21D98B8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r w:rsidRPr="0066147A">
              <w:rPr>
                <w:rFonts w:ascii="Times New Roman" w:eastAsia="宋体" w:hAnsi="Times New Roman" w:cs="Times New Roman"/>
                <w:sz w:val="18"/>
                <w:szCs w:val="18"/>
                <w14:ligatures w14:val="none"/>
              </w:rPr>
              <w:t>华能</w:t>
            </w:r>
            <w:r w:rsidRPr="0066147A">
              <w:rPr>
                <w:rFonts w:ascii="Times New Roman" w:eastAsia="宋体" w:hAnsi="Times New Roman" w:cs="Times New Roman"/>
                <w:sz w:val="18"/>
                <w:szCs w:val="18"/>
                <w14:ligatures w14:val="none"/>
              </w:rPr>
              <w:t>G1</w:t>
            </w:r>
          </w:p>
        </w:tc>
        <w:tc>
          <w:tcPr>
            <w:tcW w:w="1217" w:type="dxa"/>
            <w:vAlign w:val="center"/>
          </w:tcPr>
          <w:p w14:paraId="31CB9B2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40</w:t>
            </w:r>
          </w:p>
        </w:tc>
        <w:tc>
          <w:tcPr>
            <w:tcW w:w="1217" w:type="dxa"/>
            <w:vAlign w:val="center"/>
          </w:tcPr>
          <w:p w14:paraId="6B0D105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10</w:t>
            </w:r>
          </w:p>
        </w:tc>
        <w:tc>
          <w:tcPr>
            <w:tcW w:w="1217" w:type="dxa"/>
            <w:vAlign w:val="center"/>
          </w:tcPr>
          <w:p w14:paraId="6F38071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5.2</w:t>
            </w:r>
          </w:p>
        </w:tc>
        <w:tc>
          <w:tcPr>
            <w:tcW w:w="1218" w:type="dxa"/>
            <w:vAlign w:val="center"/>
          </w:tcPr>
          <w:p w14:paraId="5375979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20080508</w:t>
            </w:r>
          </w:p>
        </w:tc>
        <w:tc>
          <w:tcPr>
            <w:tcW w:w="1218" w:type="dxa"/>
            <w:vAlign w:val="center"/>
          </w:tcPr>
          <w:p w14:paraId="61461ECD"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AAA</w:t>
            </w:r>
          </w:p>
        </w:tc>
        <w:tc>
          <w:tcPr>
            <w:tcW w:w="1218" w:type="dxa"/>
            <w:vAlign w:val="center"/>
          </w:tcPr>
          <w:p w14:paraId="5A18843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AAA</w:t>
            </w:r>
          </w:p>
        </w:tc>
      </w:tr>
      <w:tr w:rsidR="0066147A" w:rsidRPr="0066147A" w14:paraId="78DAD63B" w14:textId="77777777" w:rsidTr="00DB24B0">
        <w:tc>
          <w:tcPr>
            <w:tcW w:w="1217" w:type="dxa"/>
            <w:vAlign w:val="center"/>
          </w:tcPr>
          <w:p w14:paraId="7549D84D"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r w:rsidRPr="0066147A">
              <w:rPr>
                <w:rFonts w:ascii="Times New Roman" w:eastAsia="宋体" w:hAnsi="Times New Roman" w:cs="Times New Roman"/>
                <w:sz w:val="18"/>
                <w:szCs w:val="18"/>
                <w14:ligatures w14:val="none"/>
              </w:rPr>
              <w:t>北辰债</w:t>
            </w:r>
          </w:p>
        </w:tc>
        <w:tc>
          <w:tcPr>
            <w:tcW w:w="1217" w:type="dxa"/>
            <w:vAlign w:val="center"/>
          </w:tcPr>
          <w:p w14:paraId="2CFBE567"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17</w:t>
            </w:r>
          </w:p>
        </w:tc>
        <w:tc>
          <w:tcPr>
            <w:tcW w:w="1217" w:type="dxa"/>
            <w:vAlign w:val="center"/>
          </w:tcPr>
          <w:p w14:paraId="569C7BC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w:t>
            </w:r>
          </w:p>
        </w:tc>
        <w:tc>
          <w:tcPr>
            <w:tcW w:w="1217" w:type="dxa"/>
            <w:vAlign w:val="center"/>
          </w:tcPr>
          <w:p w14:paraId="4C44851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8.2</w:t>
            </w:r>
          </w:p>
        </w:tc>
        <w:tc>
          <w:tcPr>
            <w:tcW w:w="1218" w:type="dxa"/>
            <w:vAlign w:val="center"/>
          </w:tcPr>
          <w:p w14:paraId="7BB18A8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20080718</w:t>
            </w:r>
          </w:p>
        </w:tc>
        <w:tc>
          <w:tcPr>
            <w:tcW w:w="1218" w:type="dxa"/>
            <w:vAlign w:val="center"/>
          </w:tcPr>
          <w:p w14:paraId="651B72F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69157FF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1777279C" w14:textId="77777777" w:rsidTr="00DB24B0">
        <w:tc>
          <w:tcPr>
            <w:tcW w:w="1217" w:type="dxa"/>
            <w:vAlign w:val="center"/>
          </w:tcPr>
          <w:p w14:paraId="7E599BC7"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proofErr w:type="gramStart"/>
            <w:r w:rsidRPr="0066147A">
              <w:rPr>
                <w:rFonts w:ascii="Times New Roman" w:eastAsia="宋体" w:hAnsi="Times New Roman" w:cs="Times New Roman"/>
                <w:sz w:val="18"/>
                <w:szCs w:val="18"/>
                <w14:ligatures w14:val="none"/>
              </w:rPr>
              <w:t>甬</w:t>
            </w:r>
            <w:proofErr w:type="gramEnd"/>
            <w:r w:rsidRPr="0066147A">
              <w:rPr>
                <w:rFonts w:ascii="Times New Roman" w:eastAsia="宋体" w:hAnsi="Times New Roman" w:cs="Times New Roman"/>
                <w:sz w:val="18"/>
                <w:szCs w:val="18"/>
                <w14:ligatures w14:val="none"/>
              </w:rPr>
              <w:t>交投</w:t>
            </w:r>
          </w:p>
        </w:tc>
        <w:tc>
          <w:tcPr>
            <w:tcW w:w="1217" w:type="dxa"/>
            <w:vAlign w:val="center"/>
          </w:tcPr>
          <w:p w14:paraId="4EBA155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8</w:t>
            </w:r>
          </w:p>
        </w:tc>
        <w:tc>
          <w:tcPr>
            <w:tcW w:w="1217" w:type="dxa"/>
            <w:vAlign w:val="center"/>
          </w:tcPr>
          <w:p w14:paraId="53D22BD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w:t>
            </w:r>
          </w:p>
        </w:tc>
        <w:tc>
          <w:tcPr>
            <w:tcW w:w="1217" w:type="dxa"/>
            <w:vAlign w:val="center"/>
          </w:tcPr>
          <w:p w14:paraId="40E87A2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6.9</w:t>
            </w:r>
          </w:p>
        </w:tc>
        <w:tc>
          <w:tcPr>
            <w:tcW w:w="1218" w:type="dxa"/>
            <w:vAlign w:val="center"/>
          </w:tcPr>
          <w:p w14:paraId="31A3C42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20080722</w:t>
            </w:r>
          </w:p>
        </w:tc>
        <w:tc>
          <w:tcPr>
            <w:tcW w:w="1218" w:type="dxa"/>
            <w:vAlign w:val="center"/>
          </w:tcPr>
          <w:p w14:paraId="72A7C6C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2982BC1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5DFAC510" w14:textId="77777777" w:rsidTr="00DB24B0">
        <w:tc>
          <w:tcPr>
            <w:tcW w:w="1217" w:type="dxa"/>
            <w:vAlign w:val="center"/>
          </w:tcPr>
          <w:p w14:paraId="5137504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r w:rsidRPr="0066147A">
              <w:rPr>
                <w:rFonts w:ascii="Times New Roman" w:eastAsia="宋体" w:hAnsi="Times New Roman" w:cs="Times New Roman"/>
                <w:sz w:val="18"/>
                <w:szCs w:val="18"/>
                <w14:ligatures w14:val="none"/>
              </w:rPr>
              <w:t>铁岭债</w:t>
            </w:r>
          </w:p>
        </w:tc>
        <w:tc>
          <w:tcPr>
            <w:tcW w:w="1217" w:type="dxa"/>
            <w:vAlign w:val="center"/>
          </w:tcPr>
          <w:p w14:paraId="5210A8D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w:t>
            </w:r>
          </w:p>
        </w:tc>
        <w:tc>
          <w:tcPr>
            <w:tcW w:w="1217" w:type="dxa"/>
            <w:vAlign w:val="center"/>
          </w:tcPr>
          <w:p w14:paraId="642AE8A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vAlign w:val="center"/>
          </w:tcPr>
          <w:p w14:paraId="5D2CE5C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8.35</w:t>
            </w:r>
          </w:p>
        </w:tc>
        <w:tc>
          <w:tcPr>
            <w:tcW w:w="1218" w:type="dxa"/>
            <w:vAlign w:val="center"/>
          </w:tcPr>
          <w:p w14:paraId="1E77CE3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20080821</w:t>
            </w:r>
          </w:p>
        </w:tc>
        <w:tc>
          <w:tcPr>
            <w:tcW w:w="1218" w:type="dxa"/>
            <w:vAlign w:val="center"/>
          </w:tcPr>
          <w:p w14:paraId="752F2CC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2DD4F65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64ED47A1" w14:textId="77777777" w:rsidTr="00DB24B0">
        <w:tc>
          <w:tcPr>
            <w:tcW w:w="1217" w:type="dxa"/>
            <w:vAlign w:val="center"/>
          </w:tcPr>
          <w:p w14:paraId="7866DAC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r w:rsidRPr="0066147A">
              <w:rPr>
                <w:rFonts w:ascii="Times New Roman" w:eastAsia="宋体" w:hAnsi="Times New Roman" w:cs="Times New Roman"/>
                <w:sz w:val="18"/>
                <w:szCs w:val="18"/>
                <w14:ligatures w14:val="none"/>
              </w:rPr>
              <w:t>合建投</w:t>
            </w:r>
          </w:p>
        </w:tc>
        <w:tc>
          <w:tcPr>
            <w:tcW w:w="1217" w:type="dxa"/>
            <w:vAlign w:val="center"/>
          </w:tcPr>
          <w:p w14:paraId="1CE376E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17</w:t>
            </w:r>
          </w:p>
        </w:tc>
        <w:tc>
          <w:tcPr>
            <w:tcW w:w="1217" w:type="dxa"/>
            <w:vAlign w:val="center"/>
          </w:tcPr>
          <w:p w14:paraId="5D54824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10</w:t>
            </w:r>
          </w:p>
        </w:tc>
        <w:tc>
          <w:tcPr>
            <w:tcW w:w="1217" w:type="dxa"/>
            <w:vAlign w:val="center"/>
          </w:tcPr>
          <w:p w14:paraId="0E17F21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6.91</w:t>
            </w:r>
          </w:p>
        </w:tc>
        <w:tc>
          <w:tcPr>
            <w:tcW w:w="1218" w:type="dxa"/>
            <w:vAlign w:val="center"/>
          </w:tcPr>
          <w:p w14:paraId="47AFD4B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20080828</w:t>
            </w:r>
          </w:p>
        </w:tc>
        <w:tc>
          <w:tcPr>
            <w:tcW w:w="1218" w:type="dxa"/>
            <w:vAlign w:val="center"/>
          </w:tcPr>
          <w:p w14:paraId="3F815C2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AAA</w:t>
            </w:r>
          </w:p>
        </w:tc>
        <w:tc>
          <w:tcPr>
            <w:tcW w:w="1218" w:type="dxa"/>
            <w:vAlign w:val="center"/>
          </w:tcPr>
          <w:p w14:paraId="60BA44C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2C65E7BB" w14:textId="77777777" w:rsidTr="00DB24B0">
        <w:tc>
          <w:tcPr>
            <w:tcW w:w="1217" w:type="dxa"/>
            <w:vAlign w:val="center"/>
          </w:tcPr>
          <w:p w14:paraId="7DE1D44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r w:rsidRPr="0066147A">
              <w:rPr>
                <w:rFonts w:ascii="Times New Roman" w:eastAsia="宋体" w:hAnsi="Times New Roman" w:cs="Times New Roman"/>
                <w:sz w:val="18"/>
                <w:szCs w:val="18"/>
                <w14:ligatures w14:val="none"/>
              </w:rPr>
              <w:t>常城建</w:t>
            </w:r>
          </w:p>
        </w:tc>
        <w:tc>
          <w:tcPr>
            <w:tcW w:w="1217" w:type="dxa"/>
            <w:vAlign w:val="center"/>
          </w:tcPr>
          <w:p w14:paraId="5B9ADF5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25</w:t>
            </w:r>
          </w:p>
        </w:tc>
        <w:tc>
          <w:tcPr>
            <w:tcW w:w="1217" w:type="dxa"/>
            <w:vAlign w:val="center"/>
          </w:tcPr>
          <w:p w14:paraId="5F763A1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vAlign w:val="center"/>
          </w:tcPr>
          <w:p w14:paraId="55A01E8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6.3</w:t>
            </w:r>
          </w:p>
        </w:tc>
        <w:tc>
          <w:tcPr>
            <w:tcW w:w="1218" w:type="dxa"/>
            <w:vAlign w:val="center"/>
          </w:tcPr>
          <w:p w14:paraId="7AC049D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20080924</w:t>
            </w:r>
          </w:p>
        </w:tc>
        <w:tc>
          <w:tcPr>
            <w:tcW w:w="1218" w:type="dxa"/>
            <w:vAlign w:val="center"/>
          </w:tcPr>
          <w:p w14:paraId="3DDE3977"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114F5B1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592BEB53" w14:textId="77777777" w:rsidTr="00DB24B0">
        <w:tc>
          <w:tcPr>
            <w:tcW w:w="1217" w:type="dxa"/>
            <w:vAlign w:val="center"/>
          </w:tcPr>
          <w:p w14:paraId="5C77C62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proofErr w:type="gramStart"/>
            <w:r w:rsidRPr="0066147A">
              <w:rPr>
                <w:rFonts w:ascii="Times New Roman" w:eastAsia="宋体" w:hAnsi="Times New Roman" w:cs="Times New Roman"/>
                <w:sz w:val="18"/>
                <w:szCs w:val="18"/>
                <w14:ligatures w14:val="none"/>
              </w:rPr>
              <w:t>苏高新</w:t>
            </w:r>
            <w:proofErr w:type="gramEnd"/>
          </w:p>
        </w:tc>
        <w:tc>
          <w:tcPr>
            <w:tcW w:w="1217" w:type="dxa"/>
            <w:vAlign w:val="center"/>
          </w:tcPr>
          <w:p w14:paraId="79F8A79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10</w:t>
            </w:r>
          </w:p>
        </w:tc>
        <w:tc>
          <w:tcPr>
            <w:tcW w:w="1217" w:type="dxa"/>
            <w:vAlign w:val="center"/>
          </w:tcPr>
          <w:p w14:paraId="53434B1D"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w:t>
            </w:r>
          </w:p>
        </w:tc>
        <w:tc>
          <w:tcPr>
            <w:tcW w:w="1217" w:type="dxa"/>
            <w:vAlign w:val="center"/>
          </w:tcPr>
          <w:p w14:paraId="57A574F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6.14</w:t>
            </w:r>
          </w:p>
        </w:tc>
        <w:tc>
          <w:tcPr>
            <w:tcW w:w="1218" w:type="dxa"/>
            <w:vAlign w:val="center"/>
          </w:tcPr>
          <w:p w14:paraId="01853B5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20081009</w:t>
            </w:r>
          </w:p>
        </w:tc>
        <w:tc>
          <w:tcPr>
            <w:tcW w:w="1218" w:type="dxa"/>
            <w:vAlign w:val="center"/>
          </w:tcPr>
          <w:p w14:paraId="6F424C0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AAA</w:t>
            </w:r>
          </w:p>
        </w:tc>
        <w:tc>
          <w:tcPr>
            <w:tcW w:w="1218" w:type="dxa"/>
            <w:vAlign w:val="center"/>
          </w:tcPr>
          <w:p w14:paraId="5D6A7C3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6EAD56AB" w14:textId="77777777" w:rsidTr="00DB24B0">
        <w:tc>
          <w:tcPr>
            <w:tcW w:w="1217" w:type="dxa"/>
            <w:vAlign w:val="center"/>
          </w:tcPr>
          <w:p w14:paraId="04EFA27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proofErr w:type="gramStart"/>
            <w:r w:rsidRPr="0066147A">
              <w:rPr>
                <w:rFonts w:ascii="Times New Roman" w:eastAsia="宋体" w:hAnsi="Times New Roman" w:cs="Times New Roman"/>
                <w:sz w:val="18"/>
                <w:szCs w:val="18"/>
                <w14:ligatures w14:val="none"/>
              </w:rPr>
              <w:t>云投债</w:t>
            </w:r>
            <w:proofErr w:type="gramEnd"/>
          </w:p>
        </w:tc>
        <w:tc>
          <w:tcPr>
            <w:tcW w:w="1217" w:type="dxa"/>
            <w:vAlign w:val="center"/>
          </w:tcPr>
          <w:p w14:paraId="7838D53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15</w:t>
            </w:r>
          </w:p>
        </w:tc>
        <w:tc>
          <w:tcPr>
            <w:tcW w:w="1217" w:type="dxa"/>
            <w:vAlign w:val="center"/>
          </w:tcPr>
          <w:p w14:paraId="3757C5D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w:t>
            </w:r>
          </w:p>
        </w:tc>
        <w:tc>
          <w:tcPr>
            <w:tcW w:w="1217" w:type="dxa"/>
            <w:vAlign w:val="center"/>
          </w:tcPr>
          <w:p w14:paraId="3D4CB71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5.4</w:t>
            </w:r>
          </w:p>
        </w:tc>
        <w:tc>
          <w:tcPr>
            <w:tcW w:w="1218" w:type="dxa"/>
            <w:vAlign w:val="center"/>
          </w:tcPr>
          <w:p w14:paraId="431806B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20081022</w:t>
            </w:r>
          </w:p>
        </w:tc>
        <w:tc>
          <w:tcPr>
            <w:tcW w:w="1218" w:type="dxa"/>
            <w:vAlign w:val="center"/>
          </w:tcPr>
          <w:p w14:paraId="0BC6071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470A3C0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73DB6BF9" w14:textId="77777777" w:rsidTr="00DB24B0">
        <w:tc>
          <w:tcPr>
            <w:tcW w:w="1217" w:type="dxa"/>
            <w:vAlign w:val="center"/>
          </w:tcPr>
          <w:p w14:paraId="0AE2C99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r w:rsidRPr="0066147A">
              <w:rPr>
                <w:rFonts w:ascii="Times New Roman" w:eastAsia="宋体" w:hAnsi="Times New Roman" w:cs="Times New Roman"/>
                <w:sz w:val="18"/>
                <w:szCs w:val="18"/>
                <w14:ligatures w14:val="none"/>
              </w:rPr>
              <w:t>舞钢债</w:t>
            </w:r>
          </w:p>
        </w:tc>
        <w:tc>
          <w:tcPr>
            <w:tcW w:w="1217" w:type="dxa"/>
            <w:vAlign w:val="center"/>
          </w:tcPr>
          <w:p w14:paraId="395BABC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w:t>
            </w:r>
          </w:p>
        </w:tc>
        <w:tc>
          <w:tcPr>
            <w:tcW w:w="1217" w:type="dxa"/>
            <w:vAlign w:val="center"/>
          </w:tcPr>
          <w:p w14:paraId="0CDA8F13"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w:t>
            </w:r>
          </w:p>
        </w:tc>
        <w:tc>
          <w:tcPr>
            <w:tcW w:w="1217" w:type="dxa"/>
            <w:vAlign w:val="center"/>
          </w:tcPr>
          <w:p w14:paraId="37AF76D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6.45</w:t>
            </w:r>
          </w:p>
        </w:tc>
        <w:tc>
          <w:tcPr>
            <w:tcW w:w="1218" w:type="dxa"/>
            <w:vAlign w:val="center"/>
          </w:tcPr>
          <w:p w14:paraId="616ECCA7"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20081113</w:t>
            </w:r>
          </w:p>
        </w:tc>
        <w:tc>
          <w:tcPr>
            <w:tcW w:w="1218" w:type="dxa"/>
            <w:vAlign w:val="center"/>
          </w:tcPr>
          <w:p w14:paraId="72AE057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1915C96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6ED446CC" w14:textId="77777777" w:rsidTr="00DB24B0">
        <w:tc>
          <w:tcPr>
            <w:tcW w:w="1217" w:type="dxa"/>
            <w:vAlign w:val="center"/>
          </w:tcPr>
          <w:p w14:paraId="43CA123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proofErr w:type="gramStart"/>
            <w:r w:rsidRPr="0066147A">
              <w:rPr>
                <w:rFonts w:ascii="Times New Roman" w:eastAsia="宋体" w:hAnsi="Times New Roman" w:cs="Times New Roman"/>
                <w:sz w:val="18"/>
                <w:szCs w:val="18"/>
                <w14:ligatures w14:val="none"/>
              </w:rPr>
              <w:t>苏交通</w:t>
            </w:r>
            <w:proofErr w:type="gramEnd"/>
          </w:p>
        </w:tc>
        <w:tc>
          <w:tcPr>
            <w:tcW w:w="1217" w:type="dxa"/>
            <w:vAlign w:val="center"/>
          </w:tcPr>
          <w:p w14:paraId="3A298B0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25</w:t>
            </w:r>
          </w:p>
        </w:tc>
        <w:tc>
          <w:tcPr>
            <w:tcW w:w="1217" w:type="dxa"/>
            <w:vAlign w:val="center"/>
          </w:tcPr>
          <w:p w14:paraId="66C7EE4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w:t>
            </w:r>
          </w:p>
        </w:tc>
        <w:tc>
          <w:tcPr>
            <w:tcW w:w="1217" w:type="dxa"/>
            <w:vAlign w:val="center"/>
          </w:tcPr>
          <w:p w14:paraId="1F0CE5F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4.95</w:t>
            </w:r>
          </w:p>
        </w:tc>
        <w:tc>
          <w:tcPr>
            <w:tcW w:w="1218" w:type="dxa"/>
            <w:vAlign w:val="center"/>
          </w:tcPr>
          <w:p w14:paraId="4CE0370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20081118</w:t>
            </w:r>
          </w:p>
        </w:tc>
        <w:tc>
          <w:tcPr>
            <w:tcW w:w="1218" w:type="dxa"/>
            <w:vAlign w:val="center"/>
          </w:tcPr>
          <w:p w14:paraId="50AD28F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AAA</w:t>
            </w:r>
          </w:p>
        </w:tc>
        <w:tc>
          <w:tcPr>
            <w:tcW w:w="1218" w:type="dxa"/>
            <w:vAlign w:val="center"/>
          </w:tcPr>
          <w:p w14:paraId="1E0988DD"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732ED108" w14:textId="77777777" w:rsidTr="00DB24B0">
        <w:tc>
          <w:tcPr>
            <w:tcW w:w="1217" w:type="dxa"/>
            <w:vAlign w:val="center"/>
          </w:tcPr>
          <w:p w14:paraId="60ACE90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08</w:t>
            </w:r>
            <w:proofErr w:type="gramStart"/>
            <w:r w:rsidRPr="0066147A">
              <w:rPr>
                <w:rFonts w:ascii="Times New Roman" w:eastAsia="宋体" w:hAnsi="Times New Roman" w:cs="Times New Roman"/>
                <w:sz w:val="18"/>
                <w:szCs w:val="18"/>
                <w14:ligatures w14:val="none"/>
              </w:rPr>
              <w:t>渝</w:t>
            </w:r>
            <w:proofErr w:type="gramEnd"/>
            <w:r w:rsidRPr="0066147A">
              <w:rPr>
                <w:rFonts w:ascii="Times New Roman" w:eastAsia="宋体" w:hAnsi="Times New Roman" w:cs="Times New Roman"/>
                <w:sz w:val="18"/>
                <w:szCs w:val="18"/>
                <w14:ligatures w14:val="none"/>
              </w:rPr>
              <w:t>交通</w:t>
            </w:r>
          </w:p>
        </w:tc>
        <w:tc>
          <w:tcPr>
            <w:tcW w:w="1217" w:type="dxa"/>
            <w:vAlign w:val="center"/>
          </w:tcPr>
          <w:p w14:paraId="6473D6F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15</w:t>
            </w:r>
          </w:p>
        </w:tc>
        <w:tc>
          <w:tcPr>
            <w:tcW w:w="1217" w:type="dxa"/>
            <w:vAlign w:val="center"/>
          </w:tcPr>
          <w:p w14:paraId="4B0A37B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vAlign w:val="center"/>
          </w:tcPr>
          <w:p w14:paraId="62074E1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6.3</w:t>
            </w:r>
          </w:p>
        </w:tc>
        <w:tc>
          <w:tcPr>
            <w:tcW w:w="1218" w:type="dxa"/>
            <w:vAlign w:val="center"/>
          </w:tcPr>
          <w:p w14:paraId="4D4C1C4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20081210</w:t>
            </w:r>
          </w:p>
        </w:tc>
        <w:tc>
          <w:tcPr>
            <w:tcW w:w="1218" w:type="dxa"/>
            <w:vAlign w:val="center"/>
          </w:tcPr>
          <w:p w14:paraId="7BE4B72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1053A00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025B5514" w14:textId="77777777" w:rsidTr="00DB24B0">
        <w:tc>
          <w:tcPr>
            <w:tcW w:w="1217" w:type="dxa"/>
            <w:vAlign w:val="center"/>
          </w:tcPr>
          <w:p w14:paraId="66160B5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bookmarkStart w:id="9" w:name="_Toc246425335"/>
            <w:r w:rsidRPr="0066147A">
              <w:rPr>
                <w:rFonts w:ascii="Times New Roman" w:eastAsia="宋体" w:hAnsi="Times New Roman" w:cs="Times New Roman"/>
                <w:sz w:val="18"/>
                <w:szCs w:val="18"/>
                <w14:ligatures w14:val="none"/>
              </w:rPr>
              <w:t>08</w:t>
            </w:r>
            <w:r w:rsidRPr="0066147A">
              <w:rPr>
                <w:rFonts w:ascii="Times New Roman" w:eastAsia="宋体" w:hAnsi="Times New Roman" w:cs="Times New Roman"/>
                <w:sz w:val="18"/>
                <w:szCs w:val="18"/>
                <w14:ligatures w14:val="none"/>
              </w:rPr>
              <w:t>西城投</w:t>
            </w:r>
          </w:p>
        </w:tc>
        <w:tc>
          <w:tcPr>
            <w:tcW w:w="1217" w:type="dxa"/>
            <w:vAlign w:val="center"/>
          </w:tcPr>
          <w:p w14:paraId="76BE67D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10</w:t>
            </w:r>
          </w:p>
        </w:tc>
        <w:tc>
          <w:tcPr>
            <w:tcW w:w="1217" w:type="dxa"/>
            <w:vAlign w:val="center"/>
          </w:tcPr>
          <w:p w14:paraId="01A19AE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vAlign w:val="center"/>
          </w:tcPr>
          <w:p w14:paraId="2FBFC7E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6.38</w:t>
            </w:r>
          </w:p>
        </w:tc>
        <w:tc>
          <w:tcPr>
            <w:tcW w:w="1218" w:type="dxa"/>
            <w:vAlign w:val="center"/>
          </w:tcPr>
          <w:p w14:paraId="6B65207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20081216</w:t>
            </w:r>
          </w:p>
        </w:tc>
        <w:tc>
          <w:tcPr>
            <w:tcW w:w="1218" w:type="dxa"/>
            <w:vAlign w:val="center"/>
          </w:tcPr>
          <w:p w14:paraId="219C67D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084962A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4462C27D" w14:textId="77777777" w:rsidTr="00DB24B0">
        <w:tc>
          <w:tcPr>
            <w:tcW w:w="1217" w:type="dxa"/>
            <w:vAlign w:val="center"/>
          </w:tcPr>
          <w:p w14:paraId="04DB85A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proofErr w:type="gramStart"/>
            <w:r w:rsidRPr="0066147A">
              <w:rPr>
                <w:rFonts w:ascii="Times New Roman" w:eastAsia="宋体" w:hAnsi="Times New Roman" w:cs="Times New Roman"/>
                <w:sz w:val="18"/>
                <w:szCs w:val="18"/>
                <w14:ligatures w14:val="none"/>
              </w:rPr>
              <w:t>渝水投</w:t>
            </w:r>
            <w:proofErr w:type="gramEnd"/>
          </w:p>
        </w:tc>
        <w:tc>
          <w:tcPr>
            <w:tcW w:w="1217" w:type="dxa"/>
            <w:vAlign w:val="center"/>
          </w:tcPr>
          <w:p w14:paraId="74A34A0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15</w:t>
            </w:r>
          </w:p>
        </w:tc>
        <w:tc>
          <w:tcPr>
            <w:tcW w:w="1217" w:type="dxa"/>
            <w:vAlign w:val="center"/>
          </w:tcPr>
          <w:p w14:paraId="375B269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vAlign w:val="center"/>
          </w:tcPr>
          <w:p w14:paraId="3EE4C4A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5.92</w:t>
            </w:r>
          </w:p>
        </w:tc>
        <w:tc>
          <w:tcPr>
            <w:tcW w:w="1218" w:type="dxa"/>
            <w:vAlign w:val="center"/>
          </w:tcPr>
          <w:p w14:paraId="6958106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20090209</w:t>
            </w:r>
          </w:p>
        </w:tc>
        <w:tc>
          <w:tcPr>
            <w:tcW w:w="1218" w:type="dxa"/>
            <w:vAlign w:val="center"/>
          </w:tcPr>
          <w:p w14:paraId="727B31C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7B31E673"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354433A9" w14:textId="77777777" w:rsidTr="00DB24B0">
        <w:tc>
          <w:tcPr>
            <w:tcW w:w="1217" w:type="dxa"/>
            <w:vAlign w:val="center"/>
          </w:tcPr>
          <w:p w14:paraId="1BCC00D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r w:rsidRPr="0066147A">
              <w:rPr>
                <w:rFonts w:ascii="Times New Roman" w:eastAsia="宋体" w:hAnsi="Times New Roman" w:cs="Times New Roman"/>
                <w:sz w:val="18"/>
                <w:szCs w:val="18"/>
                <w14:ligatures w14:val="none"/>
              </w:rPr>
              <w:t>春华债</w:t>
            </w:r>
          </w:p>
        </w:tc>
        <w:tc>
          <w:tcPr>
            <w:tcW w:w="1217" w:type="dxa"/>
            <w:vAlign w:val="center"/>
          </w:tcPr>
          <w:p w14:paraId="7C49F4C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10</w:t>
            </w:r>
          </w:p>
        </w:tc>
        <w:tc>
          <w:tcPr>
            <w:tcW w:w="1217" w:type="dxa"/>
            <w:vAlign w:val="center"/>
          </w:tcPr>
          <w:p w14:paraId="3C3F5B1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vAlign w:val="center"/>
          </w:tcPr>
          <w:p w14:paraId="659760F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6.08</w:t>
            </w:r>
          </w:p>
        </w:tc>
        <w:tc>
          <w:tcPr>
            <w:tcW w:w="1218" w:type="dxa"/>
            <w:vAlign w:val="center"/>
          </w:tcPr>
          <w:p w14:paraId="7B70DAF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20090211</w:t>
            </w:r>
          </w:p>
        </w:tc>
        <w:tc>
          <w:tcPr>
            <w:tcW w:w="1218" w:type="dxa"/>
            <w:vAlign w:val="center"/>
          </w:tcPr>
          <w:p w14:paraId="338D4F1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4F20B81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01E8E57B" w14:textId="77777777" w:rsidTr="00DB24B0">
        <w:tc>
          <w:tcPr>
            <w:tcW w:w="1217" w:type="dxa"/>
            <w:vAlign w:val="center"/>
          </w:tcPr>
          <w:p w14:paraId="147EAF4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proofErr w:type="gramStart"/>
            <w:r w:rsidRPr="0066147A">
              <w:rPr>
                <w:rFonts w:ascii="Times New Roman" w:eastAsia="宋体" w:hAnsi="Times New Roman" w:cs="Times New Roman"/>
                <w:sz w:val="18"/>
                <w:szCs w:val="18"/>
                <w14:ligatures w14:val="none"/>
              </w:rPr>
              <w:t>浙能债</w:t>
            </w:r>
            <w:proofErr w:type="gramEnd"/>
          </w:p>
        </w:tc>
        <w:tc>
          <w:tcPr>
            <w:tcW w:w="1217" w:type="dxa"/>
            <w:vAlign w:val="center"/>
          </w:tcPr>
          <w:p w14:paraId="5B177C0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47</w:t>
            </w:r>
          </w:p>
        </w:tc>
        <w:tc>
          <w:tcPr>
            <w:tcW w:w="1217" w:type="dxa"/>
            <w:vAlign w:val="center"/>
          </w:tcPr>
          <w:p w14:paraId="2EFD0F33"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w:t>
            </w:r>
          </w:p>
        </w:tc>
        <w:tc>
          <w:tcPr>
            <w:tcW w:w="1217" w:type="dxa"/>
            <w:vAlign w:val="center"/>
          </w:tcPr>
          <w:p w14:paraId="3D3CF36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3.98</w:t>
            </w:r>
          </w:p>
        </w:tc>
        <w:tc>
          <w:tcPr>
            <w:tcW w:w="1218" w:type="dxa"/>
            <w:vAlign w:val="center"/>
          </w:tcPr>
          <w:p w14:paraId="6652115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20090223</w:t>
            </w:r>
          </w:p>
        </w:tc>
        <w:tc>
          <w:tcPr>
            <w:tcW w:w="1218" w:type="dxa"/>
            <w:vAlign w:val="center"/>
          </w:tcPr>
          <w:p w14:paraId="756FA0B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AAA</w:t>
            </w:r>
          </w:p>
        </w:tc>
        <w:tc>
          <w:tcPr>
            <w:tcW w:w="1218" w:type="dxa"/>
            <w:vAlign w:val="center"/>
          </w:tcPr>
          <w:p w14:paraId="5675D7E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AAA</w:t>
            </w:r>
          </w:p>
        </w:tc>
      </w:tr>
      <w:tr w:rsidR="0066147A" w:rsidRPr="0066147A" w14:paraId="43D5FD83" w14:textId="77777777" w:rsidTr="00DB24B0">
        <w:tc>
          <w:tcPr>
            <w:tcW w:w="1217" w:type="dxa"/>
            <w:vAlign w:val="center"/>
          </w:tcPr>
          <w:p w14:paraId="5EB85F5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r w:rsidRPr="0066147A">
              <w:rPr>
                <w:rFonts w:ascii="Times New Roman" w:eastAsia="宋体" w:hAnsi="Times New Roman" w:cs="Times New Roman"/>
                <w:sz w:val="18"/>
                <w:szCs w:val="18"/>
                <w14:ligatures w14:val="none"/>
              </w:rPr>
              <w:t>南钢联</w:t>
            </w:r>
          </w:p>
        </w:tc>
        <w:tc>
          <w:tcPr>
            <w:tcW w:w="1217" w:type="dxa"/>
            <w:vAlign w:val="center"/>
          </w:tcPr>
          <w:p w14:paraId="622FA87D"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25</w:t>
            </w:r>
          </w:p>
        </w:tc>
        <w:tc>
          <w:tcPr>
            <w:tcW w:w="1217" w:type="dxa"/>
            <w:vAlign w:val="center"/>
          </w:tcPr>
          <w:p w14:paraId="595FA03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vAlign w:val="center"/>
          </w:tcPr>
          <w:p w14:paraId="44936CC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6.13</w:t>
            </w:r>
          </w:p>
        </w:tc>
        <w:tc>
          <w:tcPr>
            <w:tcW w:w="1218" w:type="dxa"/>
            <w:vAlign w:val="center"/>
          </w:tcPr>
          <w:p w14:paraId="66BFCFC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20090227</w:t>
            </w:r>
          </w:p>
        </w:tc>
        <w:tc>
          <w:tcPr>
            <w:tcW w:w="1218" w:type="dxa"/>
            <w:vAlign w:val="center"/>
          </w:tcPr>
          <w:p w14:paraId="6791D5F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60CA16B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2106A50C" w14:textId="77777777" w:rsidTr="00DB24B0">
        <w:tc>
          <w:tcPr>
            <w:tcW w:w="1217" w:type="dxa"/>
            <w:vAlign w:val="center"/>
          </w:tcPr>
          <w:p w14:paraId="036B69A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r w:rsidRPr="0066147A">
              <w:rPr>
                <w:rFonts w:ascii="Times New Roman" w:eastAsia="宋体" w:hAnsi="Times New Roman" w:cs="Times New Roman"/>
                <w:sz w:val="18"/>
                <w:szCs w:val="18"/>
                <w14:ligatures w14:val="none"/>
              </w:rPr>
              <w:t>长城开</w:t>
            </w:r>
          </w:p>
        </w:tc>
        <w:tc>
          <w:tcPr>
            <w:tcW w:w="1217" w:type="dxa"/>
            <w:vAlign w:val="center"/>
          </w:tcPr>
          <w:p w14:paraId="4AC1D89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12</w:t>
            </w:r>
          </w:p>
        </w:tc>
        <w:tc>
          <w:tcPr>
            <w:tcW w:w="1217" w:type="dxa"/>
            <w:vAlign w:val="center"/>
          </w:tcPr>
          <w:p w14:paraId="099E9197"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vAlign w:val="center"/>
          </w:tcPr>
          <w:p w14:paraId="23440FF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6.08</w:t>
            </w:r>
          </w:p>
        </w:tc>
        <w:tc>
          <w:tcPr>
            <w:tcW w:w="1218" w:type="dxa"/>
            <w:vAlign w:val="center"/>
          </w:tcPr>
          <w:p w14:paraId="0524725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20090309</w:t>
            </w:r>
          </w:p>
        </w:tc>
        <w:tc>
          <w:tcPr>
            <w:tcW w:w="1218" w:type="dxa"/>
            <w:vAlign w:val="center"/>
          </w:tcPr>
          <w:p w14:paraId="6243024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3FBBC1CD"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70438B6F" w14:textId="77777777" w:rsidTr="00DB24B0">
        <w:tc>
          <w:tcPr>
            <w:tcW w:w="1217" w:type="dxa"/>
            <w:vAlign w:val="center"/>
          </w:tcPr>
          <w:p w14:paraId="16F6937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proofErr w:type="gramStart"/>
            <w:r w:rsidRPr="0066147A">
              <w:rPr>
                <w:rFonts w:ascii="Times New Roman" w:eastAsia="宋体" w:hAnsi="Times New Roman" w:cs="Times New Roman"/>
                <w:sz w:val="18"/>
                <w:szCs w:val="18"/>
                <w14:ligatures w14:val="none"/>
              </w:rPr>
              <w:t>许继债</w:t>
            </w:r>
            <w:proofErr w:type="gramEnd"/>
          </w:p>
        </w:tc>
        <w:tc>
          <w:tcPr>
            <w:tcW w:w="1217" w:type="dxa"/>
            <w:vAlign w:val="center"/>
          </w:tcPr>
          <w:p w14:paraId="0C8397A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8</w:t>
            </w:r>
          </w:p>
        </w:tc>
        <w:tc>
          <w:tcPr>
            <w:tcW w:w="1217" w:type="dxa"/>
            <w:vAlign w:val="center"/>
          </w:tcPr>
          <w:p w14:paraId="2F5E3C63"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w:t>
            </w:r>
          </w:p>
        </w:tc>
        <w:tc>
          <w:tcPr>
            <w:tcW w:w="1217" w:type="dxa"/>
            <w:vAlign w:val="center"/>
          </w:tcPr>
          <w:p w14:paraId="4D3F5D7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4.6</w:t>
            </w:r>
          </w:p>
        </w:tc>
        <w:tc>
          <w:tcPr>
            <w:tcW w:w="1218" w:type="dxa"/>
            <w:vAlign w:val="center"/>
          </w:tcPr>
          <w:p w14:paraId="12F133E3"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20090325</w:t>
            </w:r>
          </w:p>
        </w:tc>
        <w:tc>
          <w:tcPr>
            <w:tcW w:w="1218" w:type="dxa"/>
            <w:vAlign w:val="center"/>
          </w:tcPr>
          <w:p w14:paraId="4A6051E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6C32B48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2EE9CF1C" w14:textId="77777777" w:rsidTr="00DB24B0">
        <w:tc>
          <w:tcPr>
            <w:tcW w:w="1217" w:type="dxa"/>
            <w:vAlign w:val="center"/>
          </w:tcPr>
          <w:p w14:paraId="6A4901C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lastRenderedPageBreak/>
              <w:t>09</w:t>
            </w:r>
            <w:proofErr w:type="gramStart"/>
            <w:r w:rsidRPr="0066147A">
              <w:rPr>
                <w:rFonts w:ascii="Times New Roman" w:eastAsia="宋体" w:hAnsi="Times New Roman" w:cs="Times New Roman"/>
                <w:sz w:val="18"/>
                <w:szCs w:val="18"/>
                <w14:ligatures w14:val="none"/>
              </w:rPr>
              <w:t>昆创控</w:t>
            </w:r>
            <w:proofErr w:type="gramEnd"/>
          </w:p>
        </w:tc>
        <w:tc>
          <w:tcPr>
            <w:tcW w:w="1217" w:type="dxa"/>
            <w:vAlign w:val="center"/>
          </w:tcPr>
          <w:p w14:paraId="0DD540A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w:t>
            </w:r>
          </w:p>
        </w:tc>
        <w:tc>
          <w:tcPr>
            <w:tcW w:w="1217" w:type="dxa"/>
            <w:vAlign w:val="center"/>
          </w:tcPr>
          <w:p w14:paraId="491D091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vAlign w:val="center"/>
          </w:tcPr>
          <w:p w14:paraId="79F2EF27"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4.7</w:t>
            </w:r>
          </w:p>
        </w:tc>
        <w:tc>
          <w:tcPr>
            <w:tcW w:w="1218" w:type="dxa"/>
            <w:vAlign w:val="center"/>
          </w:tcPr>
          <w:p w14:paraId="77CD9AA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20090330</w:t>
            </w:r>
          </w:p>
        </w:tc>
        <w:tc>
          <w:tcPr>
            <w:tcW w:w="1218" w:type="dxa"/>
            <w:vAlign w:val="center"/>
          </w:tcPr>
          <w:p w14:paraId="25B32A0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AAA</w:t>
            </w:r>
          </w:p>
        </w:tc>
        <w:tc>
          <w:tcPr>
            <w:tcW w:w="1218" w:type="dxa"/>
            <w:vAlign w:val="center"/>
          </w:tcPr>
          <w:p w14:paraId="655FFFE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686555B2" w14:textId="77777777" w:rsidTr="00DB24B0">
        <w:tc>
          <w:tcPr>
            <w:tcW w:w="1217" w:type="dxa"/>
            <w:vAlign w:val="center"/>
          </w:tcPr>
          <w:p w14:paraId="5ABB3ED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r w:rsidRPr="0066147A">
              <w:rPr>
                <w:rFonts w:ascii="Times New Roman" w:eastAsia="宋体" w:hAnsi="Times New Roman" w:cs="Times New Roman"/>
                <w:sz w:val="18"/>
                <w:szCs w:val="18"/>
                <w14:ligatures w14:val="none"/>
              </w:rPr>
              <w:t>镇城投</w:t>
            </w:r>
          </w:p>
        </w:tc>
        <w:tc>
          <w:tcPr>
            <w:tcW w:w="1217" w:type="dxa"/>
            <w:vAlign w:val="center"/>
          </w:tcPr>
          <w:p w14:paraId="5C67680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10</w:t>
            </w:r>
          </w:p>
        </w:tc>
        <w:tc>
          <w:tcPr>
            <w:tcW w:w="1217" w:type="dxa"/>
            <w:vAlign w:val="center"/>
          </w:tcPr>
          <w:p w14:paraId="060E697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w:t>
            </w:r>
          </w:p>
        </w:tc>
        <w:tc>
          <w:tcPr>
            <w:tcW w:w="1217" w:type="dxa"/>
            <w:vAlign w:val="center"/>
          </w:tcPr>
          <w:p w14:paraId="71F02E4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5.85</w:t>
            </w:r>
          </w:p>
        </w:tc>
        <w:tc>
          <w:tcPr>
            <w:tcW w:w="1218" w:type="dxa"/>
            <w:vAlign w:val="center"/>
          </w:tcPr>
          <w:p w14:paraId="262B466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20090330</w:t>
            </w:r>
          </w:p>
        </w:tc>
        <w:tc>
          <w:tcPr>
            <w:tcW w:w="1218" w:type="dxa"/>
            <w:vAlign w:val="center"/>
          </w:tcPr>
          <w:p w14:paraId="6538F90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55B6FF1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26255E4D" w14:textId="77777777" w:rsidTr="00DB24B0">
        <w:tc>
          <w:tcPr>
            <w:tcW w:w="1217" w:type="dxa"/>
            <w:vAlign w:val="center"/>
          </w:tcPr>
          <w:p w14:paraId="129571E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proofErr w:type="gramStart"/>
            <w:r w:rsidRPr="0066147A">
              <w:rPr>
                <w:rFonts w:ascii="Times New Roman" w:eastAsia="宋体" w:hAnsi="Times New Roman" w:cs="Times New Roman"/>
                <w:sz w:val="18"/>
                <w:szCs w:val="18"/>
                <w14:ligatures w14:val="none"/>
              </w:rPr>
              <w:t>绵投控</w:t>
            </w:r>
            <w:proofErr w:type="gramEnd"/>
          </w:p>
        </w:tc>
        <w:tc>
          <w:tcPr>
            <w:tcW w:w="1217" w:type="dxa"/>
            <w:vAlign w:val="center"/>
          </w:tcPr>
          <w:p w14:paraId="0A401F9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15</w:t>
            </w:r>
          </w:p>
        </w:tc>
        <w:tc>
          <w:tcPr>
            <w:tcW w:w="1217" w:type="dxa"/>
            <w:vAlign w:val="center"/>
          </w:tcPr>
          <w:p w14:paraId="59078CF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vAlign w:val="center"/>
          </w:tcPr>
          <w:p w14:paraId="11B7954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5.85</w:t>
            </w:r>
          </w:p>
        </w:tc>
        <w:tc>
          <w:tcPr>
            <w:tcW w:w="1218" w:type="dxa"/>
            <w:vAlign w:val="center"/>
          </w:tcPr>
          <w:p w14:paraId="4AE7A64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20090408</w:t>
            </w:r>
          </w:p>
        </w:tc>
        <w:tc>
          <w:tcPr>
            <w:tcW w:w="1218" w:type="dxa"/>
            <w:vAlign w:val="center"/>
          </w:tcPr>
          <w:p w14:paraId="33E3D76D"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46CC495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5BE27883" w14:textId="77777777" w:rsidTr="00DB24B0">
        <w:tc>
          <w:tcPr>
            <w:tcW w:w="1217" w:type="dxa"/>
            <w:vAlign w:val="center"/>
          </w:tcPr>
          <w:p w14:paraId="029F7A7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proofErr w:type="gramStart"/>
            <w:r w:rsidRPr="0066147A">
              <w:rPr>
                <w:rFonts w:ascii="Times New Roman" w:eastAsia="宋体" w:hAnsi="Times New Roman" w:cs="Times New Roman"/>
                <w:sz w:val="18"/>
                <w:szCs w:val="18"/>
                <w14:ligatures w14:val="none"/>
              </w:rPr>
              <w:t>潍投债</w:t>
            </w:r>
            <w:proofErr w:type="gramEnd"/>
          </w:p>
        </w:tc>
        <w:tc>
          <w:tcPr>
            <w:tcW w:w="1217" w:type="dxa"/>
            <w:vAlign w:val="center"/>
          </w:tcPr>
          <w:p w14:paraId="3B297CB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vAlign w:val="center"/>
          </w:tcPr>
          <w:p w14:paraId="41A3859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10</w:t>
            </w:r>
          </w:p>
        </w:tc>
        <w:tc>
          <w:tcPr>
            <w:tcW w:w="1217" w:type="dxa"/>
            <w:vAlign w:val="center"/>
          </w:tcPr>
          <w:p w14:paraId="39494A1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5.88</w:t>
            </w:r>
          </w:p>
        </w:tc>
        <w:tc>
          <w:tcPr>
            <w:tcW w:w="1218" w:type="dxa"/>
            <w:vAlign w:val="center"/>
          </w:tcPr>
          <w:p w14:paraId="4BAC832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20090415</w:t>
            </w:r>
          </w:p>
        </w:tc>
        <w:tc>
          <w:tcPr>
            <w:tcW w:w="1218" w:type="dxa"/>
            <w:vAlign w:val="center"/>
          </w:tcPr>
          <w:p w14:paraId="3430B32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4B56CC2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bl>
    <w:p w14:paraId="1A3627F6" w14:textId="77777777" w:rsidR="0066147A" w:rsidRPr="0066147A" w:rsidRDefault="0066147A" w:rsidP="0066147A">
      <w:pPr>
        <w:spacing w:beforeLines="100" w:before="312" w:after="0" w:line="240" w:lineRule="auto"/>
        <w:jc w:val="center"/>
        <w:rPr>
          <w:rFonts w:ascii="Times New Roman" w:eastAsia="新宋体" w:hAnsi="新宋体" w:cs="Times New Roman" w:hint="eastAsia"/>
          <w:sz w:val="21"/>
          <w:szCs w:val="21"/>
          <w14:ligatures w14:val="none"/>
        </w:rPr>
      </w:pPr>
      <w:r w:rsidRPr="0066147A">
        <w:rPr>
          <w:rFonts w:ascii="Times New Roman" w:eastAsia="新宋体" w:hAnsi="新宋体" w:cs="Times New Roman" w:hint="eastAsia"/>
          <w:sz w:val="21"/>
          <w:szCs w:val="21"/>
          <w14:ligatures w14:val="none"/>
        </w:rPr>
        <w:t xml:space="preserve">                                                                        </w:t>
      </w:r>
      <w:r w:rsidRPr="0066147A">
        <w:rPr>
          <w:rFonts w:ascii="Times New Roman" w:eastAsia="新宋体" w:hAnsi="新宋体" w:cs="Times New Roman" w:hint="eastAsia"/>
          <w:sz w:val="21"/>
          <w:szCs w:val="21"/>
          <w14:ligatures w14:val="none"/>
        </w:rPr>
        <w:t>（续表）</w:t>
      </w:r>
    </w:p>
    <w:tbl>
      <w:tblPr>
        <w:tblW w:w="0" w:type="auto"/>
        <w:tblBorders>
          <w:top w:val="single" w:sz="4" w:space="0" w:color="auto"/>
          <w:bottom w:val="single" w:sz="4" w:space="0" w:color="auto"/>
        </w:tblBorders>
        <w:tblLook w:val="01E0" w:firstRow="1" w:lastRow="1" w:firstColumn="1" w:lastColumn="1" w:noHBand="0" w:noVBand="0"/>
      </w:tblPr>
      <w:tblGrid>
        <w:gridCol w:w="1175"/>
        <w:gridCol w:w="1186"/>
        <w:gridCol w:w="1197"/>
        <w:gridCol w:w="1180"/>
        <w:gridCol w:w="1203"/>
        <w:gridCol w:w="1184"/>
        <w:gridCol w:w="1181"/>
      </w:tblGrid>
      <w:tr w:rsidR="0066147A" w:rsidRPr="0066147A" w14:paraId="4E4B9356" w14:textId="77777777" w:rsidTr="00DB24B0">
        <w:tc>
          <w:tcPr>
            <w:tcW w:w="1217" w:type="dxa"/>
            <w:tcBorders>
              <w:top w:val="single" w:sz="4" w:space="0" w:color="auto"/>
              <w:bottom w:val="single" w:sz="4" w:space="0" w:color="auto"/>
            </w:tcBorders>
            <w:vAlign w:val="center"/>
          </w:tcPr>
          <w:p w14:paraId="2AA7D133"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债券名称</w:t>
            </w:r>
          </w:p>
        </w:tc>
        <w:tc>
          <w:tcPr>
            <w:tcW w:w="1217" w:type="dxa"/>
            <w:tcBorders>
              <w:top w:val="single" w:sz="4" w:space="0" w:color="auto"/>
              <w:bottom w:val="single" w:sz="4" w:space="0" w:color="auto"/>
            </w:tcBorders>
            <w:vAlign w:val="center"/>
          </w:tcPr>
          <w:p w14:paraId="03115A49" w14:textId="77777777" w:rsidR="0066147A" w:rsidRPr="0066147A" w:rsidRDefault="0066147A" w:rsidP="0066147A">
            <w:pPr>
              <w:spacing w:after="0" w:line="240" w:lineRule="auto"/>
              <w:jc w:val="both"/>
              <w:rPr>
                <w:rFonts w:ascii="Times New Roman" w:eastAsia="宋体" w:hAnsi="Times New Roman" w:cs="Times New Roman" w:hint="eastAsia"/>
                <w:sz w:val="21"/>
                <w14:ligatures w14:val="none"/>
              </w:rPr>
            </w:pPr>
            <w:r w:rsidRPr="0066147A">
              <w:rPr>
                <w:rFonts w:ascii="Times New Roman" w:eastAsia="宋体" w:hAnsi="Times New Roman" w:cs="Times New Roman"/>
                <w:sz w:val="21"/>
                <w14:ligatures w14:val="none"/>
              </w:rPr>
              <w:t>发行额</w:t>
            </w:r>
          </w:p>
          <w:p w14:paraId="4BC1644E"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（亿元）</w:t>
            </w:r>
          </w:p>
        </w:tc>
        <w:tc>
          <w:tcPr>
            <w:tcW w:w="1217" w:type="dxa"/>
            <w:tcBorders>
              <w:top w:val="single" w:sz="4" w:space="0" w:color="auto"/>
              <w:bottom w:val="single" w:sz="4" w:space="0" w:color="auto"/>
            </w:tcBorders>
            <w:vAlign w:val="center"/>
          </w:tcPr>
          <w:p w14:paraId="5531F09C"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发行期限（年）</w:t>
            </w:r>
          </w:p>
        </w:tc>
        <w:tc>
          <w:tcPr>
            <w:tcW w:w="1217" w:type="dxa"/>
            <w:tcBorders>
              <w:top w:val="single" w:sz="4" w:space="0" w:color="auto"/>
              <w:bottom w:val="single" w:sz="4" w:space="0" w:color="auto"/>
            </w:tcBorders>
            <w:vAlign w:val="center"/>
          </w:tcPr>
          <w:p w14:paraId="77E86D35"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票面利率</w:t>
            </w:r>
          </w:p>
        </w:tc>
        <w:tc>
          <w:tcPr>
            <w:tcW w:w="1218" w:type="dxa"/>
            <w:tcBorders>
              <w:top w:val="single" w:sz="4" w:space="0" w:color="auto"/>
              <w:bottom w:val="single" w:sz="4" w:space="0" w:color="auto"/>
            </w:tcBorders>
            <w:vAlign w:val="center"/>
          </w:tcPr>
          <w:p w14:paraId="2AB2709C"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发行日期</w:t>
            </w:r>
          </w:p>
        </w:tc>
        <w:tc>
          <w:tcPr>
            <w:tcW w:w="1218" w:type="dxa"/>
            <w:tcBorders>
              <w:top w:val="single" w:sz="4" w:space="0" w:color="auto"/>
              <w:bottom w:val="single" w:sz="4" w:space="0" w:color="auto"/>
            </w:tcBorders>
            <w:vAlign w:val="center"/>
          </w:tcPr>
          <w:p w14:paraId="1A96C8F2" w14:textId="77777777" w:rsidR="0066147A" w:rsidRPr="0066147A" w:rsidRDefault="0066147A" w:rsidP="0066147A">
            <w:pPr>
              <w:spacing w:after="0" w:line="240" w:lineRule="auto"/>
              <w:jc w:val="both"/>
              <w:rPr>
                <w:rFonts w:ascii="Times New Roman" w:eastAsia="宋体" w:hAnsi="Times New Roman" w:cs="Times New Roman" w:hint="eastAsia"/>
                <w:sz w:val="21"/>
                <w14:ligatures w14:val="none"/>
              </w:rPr>
            </w:pPr>
            <w:r w:rsidRPr="0066147A">
              <w:rPr>
                <w:rFonts w:ascii="Times New Roman" w:eastAsia="宋体" w:hAnsi="Times New Roman" w:cs="Times New Roman"/>
                <w:sz w:val="21"/>
                <w14:ligatures w14:val="none"/>
              </w:rPr>
              <w:t>债</w:t>
            </w:r>
            <w:r w:rsidRPr="0066147A">
              <w:rPr>
                <w:rFonts w:ascii="Times New Roman" w:eastAsia="宋体" w:hAnsi="Times New Roman" w:cs="Times New Roman" w:hint="eastAsia"/>
                <w:sz w:val="21"/>
                <w14:ligatures w14:val="none"/>
              </w:rPr>
              <w:t>券</w:t>
            </w:r>
            <w:r w:rsidRPr="0066147A">
              <w:rPr>
                <w:rFonts w:ascii="Times New Roman" w:eastAsia="宋体" w:hAnsi="Times New Roman" w:cs="Times New Roman"/>
                <w:sz w:val="21"/>
                <w14:ligatures w14:val="none"/>
              </w:rPr>
              <w:t>信</w:t>
            </w:r>
          </w:p>
          <w:p w14:paraId="25A7AF34"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用等级</w:t>
            </w:r>
          </w:p>
        </w:tc>
        <w:tc>
          <w:tcPr>
            <w:tcW w:w="1218" w:type="dxa"/>
            <w:tcBorders>
              <w:top w:val="single" w:sz="4" w:space="0" w:color="auto"/>
              <w:bottom w:val="single" w:sz="4" w:space="0" w:color="auto"/>
            </w:tcBorders>
            <w:vAlign w:val="center"/>
          </w:tcPr>
          <w:p w14:paraId="2CF915B7" w14:textId="77777777" w:rsidR="0066147A" w:rsidRPr="0066147A" w:rsidRDefault="0066147A" w:rsidP="0066147A">
            <w:pPr>
              <w:spacing w:after="0" w:line="240" w:lineRule="auto"/>
              <w:jc w:val="both"/>
              <w:rPr>
                <w:rFonts w:ascii="Times New Roman" w:eastAsia="宋体" w:hAnsi="Times New Roman" w:cs="Times New Roman" w:hint="eastAsia"/>
                <w:sz w:val="21"/>
                <w14:ligatures w14:val="none"/>
              </w:rPr>
            </w:pPr>
            <w:r w:rsidRPr="0066147A">
              <w:rPr>
                <w:rFonts w:ascii="Times New Roman" w:eastAsia="宋体" w:hAnsi="Times New Roman" w:cs="Times New Roman"/>
                <w:sz w:val="21"/>
                <w14:ligatures w14:val="none"/>
              </w:rPr>
              <w:t>主体信</w:t>
            </w:r>
          </w:p>
          <w:p w14:paraId="6AC2CD51"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用等级</w:t>
            </w:r>
          </w:p>
        </w:tc>
      </w:tr>
      <w:tr w:rsidR="0066147A" w:rsidRPr="0066147A" w14:paraId="21061EF4" w14:textId="77777777" w:rsidTr="00DB24B0">
        <w:tc>
          <w:tcPr>
            <w:tcW w:w="1217" w:type="dxa"/>
            <w:vAlign w:val="center"/>
          </w:tcPr>
          <w:p w14:paraId="44602E3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r w:rsidRPr="0066147A">
              <w:rPr>
                <w:rFonts w:ascii="Times New Roman" w:eastAsia="宋体" w:hAnsi="Times New Roman" w:cs="Times New Roman"/>
                <w:sz w:val="18"/>
                <w:szCs w:val="18"/>
                <w14:ligatures w14:val="none"/>
              </w:rPr>
              <w:t>闽</w:t>
            </w:r>
            <w:proofErr w:type="gramStart"/>
            <w:r w:rsidRPr="0066147A">
              <w:rPr>
                <w:rFonts w:ascii="Times New Roman" w:eastAsia="宋体" w:hAnsi="Times New Roman" w:cs="Times New Roman"/>
                <w:sz w:val="18"/>
                <w:szCs w:val="18"/>
                <w14:ligatures w14:val="none"/>
              </w:rPr>
              <w:t>漳</w:t>
            </w:r>
            <w:proofErr w:type="gramEnd"/>
            <w:r w:rsidRPr="0066147A">
              <w:rPr>
                <w:rFonts w:ascii="Times New Roman" w:eastAsia="宋体" w:hAnsi="Times New Roman" w:cs="Times New Roman"/>
                <w:sz w:val="18"/>
                <w:szCs w:val="18"/>
                <w14:ligatures w14:val="none"/>
              </w:rPr>
              <w:t>龙</w:t>
            </w:r>
          </w:p>
        </w:tc>
        <w:tc>
          <w:tcPr>
            <w:tcW w:w="1217" w:type="dxa"/>
            <w:vAlign w:val="center"/>
          </w:tcPr>
          <w:p w14:paraId="38D919D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10</w:t>
            </w:r>
          </w:p>
        </w:tc>
        <w:tc>
          <w:tcPr>
            <w:tcW w:w="1217" w:type="dxa"/>
            <w:vAlign w:val="center"/>
          </w:tcPr>
          <w:p w14:paraId="7BC1399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w:t>
            </w:r>
          </w:p>
        </w:tc>
        <w:tc>
          <w:tcPr>
            <w:tcW w:w="1217" w:type="dxa"/>
            <w:vAlign w:val="center"/>
          </w:tcPr>
          <w:p w14:paraId="3ECBA36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5.88</w:t>
            </w:r>
          </w:p>
        </w:tc>
        <w:tc>
          <w:tcPr>
            <w:tcW w:w="1218" w:type="dxa"/>
            <w:vAlign w:val="center"/>
          </w:tcPr>
          <w:p w14:paraId="2547C9B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20090424</w:t>
            </w:r>
          </w:p>
        </w:tc>
        <w:tc>
          <w:tcPr>
            <w:tcW w:w="1218" w:type="dxa"/>
            <w:vAlign w:val="center"/>
          </w:tcPr>
          <w:p w14:paraId="4E12F0B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47A85D0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7CE1A04D" w14:textId="77777777" w:rsidTr="00DB24B0">
        <w:tc>
          <w:tcPr>
            <w:tcW w:w="1217" w:type="dxa"/>
            <w:vAlign w:val="center"/>
          </w:tcPr>
          <w:p w14:paraId="02DE33B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proofErr w:type="gramStart"/>
            <w:r w:rsidRPr="0066147A">
              <w:rPr>
                <w:rFonts w:ascii="Times New Roman" w:eastAsia="宋体" w:hAnsi="Times New Roman" w:cs="Times New Roman"/>
                <w:sz w:val="18"/>
                <w:szCs w:val="18"/>
                <w14:ligatures w14:val="none"/>
              </w:rPr>
              <w:t>滇投债</w:t>
            </w:r>
            <w:proofErr w:type="gramEnd"/>
          </w:p>
        </w:tc>
        <w:tc>
          <w:tcPr>
            <w:tcW w:w="1217" w:type="dxa"/>
            <w:vAlign w:val="center"/>
          </w:tcPr>
          <w:p w14:paraId="2172820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8</w:t>
            </w:r>
          </w:p>
        </w:tc>
        <w:tc>
          <w:tcPr>
            <w:tcW w:w="1217" w:type="dxa"/>
            <w:vAlign w:val="center"/>
          </w:tcPr>
          <w:p w14:paraId="40F2B67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w:t>
            </w:r>
          </w:p>
        </w:tc>
        <w:tc>
          <w:tcPr>
            <w:tcW w:w="1217" w:type="dxa"/>
            <w:vAlign w:val="center"/>
          </w:tcPr>
          <w:p w14:paraId="3A4DAF2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5.9</w:t>
            </w:r>
          </w:p>
        </w:tc>
        <w:tc>
          <w:tcPr>
            <w:tcW w:w="1218" w:type="dxa"/>
            <w:vAlign w:val="center"/>
          </w:tcPr>
          <w:p w14:paraId="5144EAB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20090427</w:t>
            </w:r>
          </w:p>
        </w:tc>
        <w:tc>
          <w:tcPr>
            <w:tcW w:w="1218" w:type="dxa"/>
            <w:vAlign w:val="center"/>
          </w:tcPr>
          <w:p w14:paraId="5BED6B3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3E37C73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7BEC4169" w14:textId="77777777" w:rsidTr="00DB24B0">
        <w:tc>
          <w:tcPr>
            <w:tcW w:w="1217" w:type="dxa"/>
            <w:vAlign w:val="center"/>
          </w:tcPr>
          <w:p w14:paraId="76CFB3B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proofErr w:type="gramStart"/>
            <w:r w:rsidRPr="0066147A">
              <w:rPr>
                <w:rFonts w:ascii="Times New Roman" w:eastAsia="宋体" w:hAnsi="Times New Roman" w:cs="Times New Roman"/>
                <w:sz w:val="18"/>
                <w:szCs w:val="18"/>
                <w14:ligatures w14:val="none"/>
              </w:rPr>
              <w:t>龙湖债</w:t>
            </w:r>
            <w:proofErr w:type="gramEnd"/>
          </w:p>
        </w:tc>
        <w:tc>
          <w:tcPr>
            <w:tcW w:w="1217" w:type="dxa"/>
            <w:vAlign w:val="center"/>
          </w:tcPr>
          <w:p w14:paraId="192D61B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14</w:t>
            </w:r>
          </w:p>
        </w:tc>
        <w:tc>
          <w:tcPr>
            <w:tcW w:w="1217" w:type="dxa"/>
            <w:vAlign w:val="center"/>
          </w:tcPr>
          <w:p w14:paraId="7D0BAB2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vAlign w:val="center"/>
          </w:tcPr>
          <w:p w14:paraId="43B133E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6.7</w:t>
            </w:r>
          </w:p>
        </w:tc>
        <w:tc>
          <w:tcPr>
            <w:tcW w:w="1218" w:type="dxa"/>
            <w:vAlign w:val="center"/>
          </w:tcPr>
          <w:p w14:paraId="00203AC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20090505</w:t>
            </w:r>
          </w:p>
        </w:tc>
        <w:tc>
          <w:tcPr>
            <w:tcW w:w="1218" w:type="dxa"/>
            <w:vAlign w:val="center"/>
          </w:tcPr>
          <w:p w14:paraId="6F7A7C7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vAlign w:val="center"/>
          </w:tcPr>
          <w:p w14:paraId="4905BB3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25D2B6EB" w14:textId="77777777" w:rsidTr="00DB24B0">
        <w:tc>
          <w:tcPr>
            <w:tcW w:w="1217" w:type="dxa"/>
            <w:tcBorders>
              <w:bottom w:val="nil"/>
            </w:tcBorders>
            <w:vAlign w:val="center"/>
          </w:tcPr>
          <w:p w14:paraId="319652D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proofErr w:type="gramStart"/>
            <w:r w:rsidRPr="0066147A">
              <w:rPr>
                <w:rFonts w:ascii="Times New Roman" w:eastAsia="宋体" w:hAnsi="Times New Roman" w:cs="Times New Roman"/>
                <w:sz w:val="18"/>
                <w:szCs w:val="18"/>
                <w14:ligatures w14:val="none"/>
              </w:rPr>
              <w:t>宁交通</w:t>
            </w:r>
            <w:proofErr w:type="gramEnd"/>
          </w:p>
        </w:tc>
        <w:tc>
          <w:tcPr>
            <w:tcW w:w="1217" w:type="dxa"/>
            <w:tcBorders>
              <w:bottom w:val="nil"/>
            </w:tcBorders>
            <w:vAlign w:val="center"/>
          </w:tcPr>
          <w:p w14:paraId="6EF4684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10</w:t>
            </w:r>
          </w:p>
        </w:tc>
        <w:tc>
          <w:tcPr>
            <w:tcW w:w="1217" w:type="dxa"/>
            <w:tcBorders>
              <w:bottom w:val="nil"/>
            </w:tcBorders>
            <w:vAlign w:val="center"/>
          </w:tcPr>
          <w:p w14:paraId="31506C4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tcBorders>
              <w:bottom w:val="nil"/>
            </w:tcBorders>
            <w:vAlign w:val="center"/>
          </w:tcPr>
          <w:p w14:paraId="755640D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5.23</w:t>
            </w:r>
          </w:p>
        </w:tc>
        <w:tc>
          <w:tcPr>
            <w:tcW w:w="1218" w:type="dxa"/>
            <w:tcBorders>
              <w:bottom w:val="nil"/>
            </w:tcBorders>
            <w:vAlign w:val="center"/>
          </w:tcPr>
          <w:p w14:paraId="09029E0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20090507</w:t>
            </w:r>
          </w:p>
        </w:tc>
        <w:tc>
          <w:tcPr>
            <w:tcW w:w="1218" w:type="dxa"/>
            <w:tcBorders>
              <w:bottom w:val="nil"/>
            </w:tcBorders>
            <w:vAlign w:val="center"/>
          </w:tcPr>
          <w:p w14:paraId="44741F7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tcBorders>
              <w:bottom w:val="nil"/>
            </w:tcBorders>
            <w:vAlign w:val="center"/>
          </w:tcPr>
          <w:p w14:paraId="35E824A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r w:rsidR="0066147A" w:rsidRPr="0066147A" w14:paraId="3AEC5C5E" w14:textId="77777777" w:rsidTr="00DB24B0">
        <w:tc>
          <w:tcPr>
            <w:tcW w:w="1217" w:type="dxa"/>
            <w:tcBorders>
              <w:top w:val="nil"/>
              <w:bottom w:val="single" w:sz="4" w:space="0" w:color="auto"/>
            </w:tcBorders>
            <w:vAlign w:val="center"/>
          </w:tcPr>
          <w:p w14:paraId="1FC01B3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09</w:t>
            </w:r>
            <w:r w:rsidRPr="0066147A">
              <w:rPr>
                <w:rFonts w:ascii="Times New Roman" w:eastAsia="宋体" w:hAnsi="Times New Roman" w:cs="Times New Roman"/>
                <w:sz w:val="18"/>
                <w:szCs w:val="18"/>
                <w14:ligatures w14:val="none"/>
              </w:rPr>
              <w:t>华西债</w:t>
            </w:r>
          </w:p>
        </w:tc>
        <w:tc>
          <w:tcPr>
            <w:tcW w:w="1217" w:type="dxa"/>
            <w:tcBorders>
              <w:top w:val="nil"/>
              <w:bottom w:val="single" w:sz="4" w:space="0" w:color="auto"/>
            </w:tcBorders>
            <w:vAlign w:val="center"/>
          </w:tcPr>
          <w:p w14:paraId="27E07ED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w:t>
            </w:r>
          </w:p>
        </w:tc>
        <w:tc>
          <w:tcPr>
            <w:tcW w:w="1217" w:type="dxa"/>
            <w:tcBorders>
              <w:top w:val="nil"/>
              <w:bottom w:val="single" w:sz="4" w:space="0" w:color="auto"/>
            </w:tcBorders>
            <w:vAlign w:val="center"/>
          </w:tcPr>
          <w:p w14:paraId="6A6E0B77"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w:t>
            </w:r>
          </w:p>
        </w:tc>
        <w:tc>
          <w:tcPr>
            <w:tcW w:w="1217" w:type="dxa"/>
            <w:tcBorders>
              <w:top w:val="nil"/>
              <w:bottom w:val="single" w:sz="4" w:space="0" w:color="auto"/>
            </w:tcBorders>
            <w:vAlign w:val="center"/>
          </w:tcPr>
          <w:p w14:paraId="1ABAB18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6.05</w:t>
            </w:r>
          </w:p>
        </w:tc>
        <w:tc>
          <w:tcPr>
            <w:tcW w:w="1218" w:type="dxa"/>
            <w:tcBorders>
              <w:top w:val="nil"/>
              <w:bottom w:val="single" w:sz="4" w:space="0" w:color="auto"/>
            </w:tcBorders>
            <w:vAlign w:val="center"/>
          </w:tcPr>
          <w:p w14:paraId="0738F44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20090515</w:t>
            </w:r>
          </w:p>
        </w:tc>
        <w:tc>
          <w:tcPr>
            <w:tcW w:w="1218" w:type="dxa"/>
            <w:tcBorders>
              <w:top w:val="nil"/>
              <w:bottom w:val="single" w:sz="4" w:space="0" w:color="auto"/>
            </w:tcBorders>
            <w:vAlign w:val="center"/>
          </w:tcPr>
          <w:p w14:paraId="2EFF89F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c>
          <w:tcPr>
            <w:tcW w:w="1218" w:type="dxa"/>
            <w:tcBorders>
              <w:top w:val="nil"/>
              <w:bottom w:val="single" w:sz="4" w:space="0" w:color="auto"/>
            </w:tcBorders>
            <w:vAlign w:val="center"/>
          </w:tcPr>
          <w:p w14:paraId="1C5D1B4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AA-</w:t>
            </w:r>
          </w:p>
        </w:tc>
      </w:tr>
    </w:tbl>
    <w:p w14:paraId="18A0595E" w14:textId="54463768" w:rsidR="0066147A" w:rsidRPr="0066147A" w:rsidRDefault="0066147A" w:rsidP="0066147A">
      <w:pPr>
        <w:spacing w:beforeLines="100" w:before="312" w:after="0" w:line="240" w:lineRule="auto"/>
        <w:jc w:val="center"/>
        <w:rPr>
          <w:rFonts w:ascii="Times New Roman" w:eastAsia="新宋体" w:hAnsi="新宋体" w:cs="Times New Roman" w:hint="eastAsia"/>
          <w:sz w:val="21"/>
          <w:szCs w:val="21"/>
          <w14:ligatures w14:val="none"/>
        </w:rPr>
      </w:pPr>
      <w:bookmarkStart w:id="10" w:name="_Toc256506406"/>
      <w:r w:rsidRPr="0066147A">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3</w:t>
      </w:r>
      <w:r w:rsidRPr="0066147A">
        <w:rPr>
          <w:rFonts w:ascii="Times New Roman" w:eastAsia="新宋体" w:hAnsi="新宋体" w:cs="Times New Roman" w:hint="eastAsia"/>
          <w:sz w:val="21"/>
          <w:szCs w:val="21"/>
          <w14:ligatures w14:val="none"/>
        </w:rPr>
        <w:t xml:space="preserve">  </w:t>
      </w:r>
      <w:r w:rsidRPr="0066147A">
        <w:rPr>
          <w:rFonts w:ascii="Times New Roman" w:eastAsia="新宋体" w:hAnsi="新宋体" w:cs="Times New Roman" w:hint="eastAsia"/>
          <w:sz w:val="21"/>
          <w:szCs w:val="21"/>
          <w14:ligatures w14:val="none"/>
        </w:rPr>
        <w:t>主要指标描述性统计</w:t>
      </w:r>
      <w:bookmarkEnd w:id="9"/>
      <w:bookmarkEnd w:id="10"/>
    </w:p>
    <w:p w14:paraId="5A912F1B" w14:textId="377B69C3" w:rsidR="0066147A" w:rsidRPr="0066147A" w:rsidRDefault="0066147A" w:rsidP="0066147A">
      <w:pPr>
        <w:spacing w:after="0" w:line="240" w:lineRule="auto"/>
        <w:jc w:val="center"/>
        <w:rPr>
          <w:rFonts w:ascii="Times New Roman" w:eastAsia="宋体" w:hAnsi="Times New Roman" w:cs="Times New Roman" w:hint="eastAsia"/>
          <w:sz w:val="21"/>
          <w:szCs w:val="21"/>
          <w14:ligatures w14:val="none"/>
        </w:rPr>
      </w:pPr>
      <w:r w:rsidRPr="0066147A">
        <w:rPr>
          <w:rFonts w:ascii="Times New Roman" w:eastAsia="宋体" w:hAnsi="Times New Roman" w:cs="Times New Roman" w:hint="eastAsia"/>
          <w:sz w:val="21"/>
          <w:szCs w:val="21"/>
          <w14:ligatures w14:val="none"/>
        </w:rPr>
        <w:t xml:space="preserve">Table </w:t>
      </w:r>
      <w:proofErr w:type="gramStart"/>
      <w:r>
        <w:rPr>
          <w:rFonts w:ascii="Times New Roman" w:eastAsia="宋体" w:hAnsi="Times New Roman" w:cs="Times New Roman" w:hint="eastAsia"/>
          <w:sz w:val="21"/>
          <w:szCs w:val="21"/>
          <w14:ligatures w14:val="none"/>
        </w:rPr>
        <w:t>3</w:t>
      </w:r>
      <w:r w:rsidRPr="0066147A">
        <w:rPr>
          <w:rFonts w:ascii="Times New Roman" w:eastAsia="宋体" w:hAnsi="Times New Roman" w:cs="Times New Roman" w:hint="eastAsia"/>
          <w:sz w:val="21"/>
          <w:szCs w:val="21"/>
          <w14:ligatures w14:val="none"/>
        </w:rPr>
        <w:t xml:space="preserve">  </w:t>
      </w:r>
      <w:r w:rsidRPr="0066147A">
        <w:rPr>
          <w:rFonts w:ascii="Times New Roman" w:eastAsia="宋体" w:hAnsi="Times New Roman" w:cs="Times New Roman"/>
          <w:sz w:val="21"/>
          <w:szCs w:val="21"/>
          <w14:ligatures w14:val="none"/>
        </w:rPr>
        <w:t>Descriptive</w:t>
      </w:r>
      <w:proofErr w:type="gramEnd"/>
      <w:r w:rsidRPr="0066147A">
        <w:rPr>
          <w:rFonts w:ascii="Times New Roman" w:eastAsia="宋体" w:hAnsi="Times New Roman" w:cs="Times New Roman"/>
          <w:sz w:val="21"/>
          <w:szCs w:val="21"/>
          <w14:ligatures w14:val="none"/>
        </w:rPr>
        <w:t xml:space="preserve"> </w:t>
      </w:r>
      <w:r w:rsidRPr="0066147A">
        <w:rPr>
          <w:rFonts w:ascii="Times New Roman" w:eastAsia="宋体" w:hAnsi="Times New Roman" w:cs="Times New Roman" w:hint="eastAsia"/>
          <w:sz w:val="21"/>
          <w:szCs w:val="21"/>
          <w14:ligatures w14:val="none"/>
        </w:rPr>
        <w:t>s</w:t>
      </w:r>
      <w:r w:rsidRPr="0066147A">
        <w:rPr>
          <w:rFonts w:ascii="Times New Roman" w:eastAsia="宋体" w:hAnsi="Times New Roman" w:cs="Times New Roman"/>
          <w:sz w:val="21"/>
          <w:szCs w:val="21"/>
          <w14:ligatures w14:val="none"/>
        </w:rPr>
        <w:t>tatistics</w:t>
      </w:r>
      <w:r w:rsidRPr="0066147A">
        <w:rPr>
          <w:rFonts w:ascii="Times New Roman" w:eastAsia="宋体" w:hAnsi="Times New Roman" w:cs="Times New Roman" w:hint="eastAsia"/>
          <w:sz w:val="21"/>
          <w:szCs w:val="21"/>
          <w14:ligatures w14:val="none"/>
        </w:rPr>
        <w:t xml:space="preserve"> of p</w:t>
      </w:r>
      <w:r w:rsidRPr="0066147A">
        <w:rPr>
          <w:rFonts w:ascii="Times New Roman" w:eastAsia="宋体" w:hAnsi="Times New Roman" w:cs="Times New Roman"/>
          <w:sz w:val="21"/>
          <w:szCs w:val="21"/>
          <w14:ligatures w14:val="none"/>
        </w:rPr>
        <w:t xml:space="preserve">rimary </w:t>
      </w:r>
      <w:r w:rsidRPr="0066147A">
        <w:rPr>
          <w:rFonts w:ascii="Times New Roman" w:eastAsia="宋体" w:hAnsi="Times New Roman" w:cs="Times New Roman" w:hint="eastAsia"/>
          <w:sz w:val="21"/>
          <w:szCs w:val="21"/>
          <w14:ligatures w14:val="none"/>
        </w:rPr>
        <w:t>i</w:t>
      </w:r>
      <w:r w:rsidRPr="0066147A">
        <w:rPr>
          <w:rFonts w:ascii="Times New Roman" w:eastAsia="宋体" w:hAnsi="Times New Roman" w:cs="Times New Roman"/>
          <w:sz w:val="21"/>
          <w:szCs w:val="21"/>
          <w14:ligatures w14:val="none"/>
        </w:rPr>
        <w:t>ndicators</w:t>
      </w:r>
    </w:p>
    <w:tbl>
      <w:tblPr>
        <w:tblW w:w="0" w:type="auto"/>
        <w:tblBorders>
          <w:top w:val="single" w:sz="4" w:space="0" w:color="auto"/>
          <w:bottom w:val="single" w:sz="4" w:space="0" w:color="auto"/>
        </w:tblBorders>
        <w:tblLook w:val="01E0" w:firstRow="1" w:lastRow="1" w:firstColumn="1" w:lastColumn="1" w:noHBand="0" w:noVBand="0"/>
      </w:tblPr>
      <w:tblGrid>
        <w:gridCol w:w="1364"/>
        <w:gridCol w:w="1392"/>
        <w:gridCol w:w="1391"/>
        <w:gridCol w:w="1379"/>
        <w:gridCol w:w="1385"/>
        <w:gridCol w:w="1395"/>
      </w:tblGrid>
      <w:tr w:rsidR="0066147A" w:rsidRPr="0066147A" w14:paraId="01C3ABB1" w14:textId="77777777" w:rsidTr="0066147A">
        <w:tc>
          <w:tcPr>
            <w:tcW w:w="1364" w:type="dxa"/>
            <w:tcBorders>
              <w:top w:val="single" w:sz="4" w:space="0" w:color="auto"/>
              <w:bottom w:val="single" w:sz="4" w:space="0" w:color="auto"/>
            </w:tcBorders>
            <w:vAlign w:val="center"/>
          </w:tcPr>
          <w:p w14:paraId="0EC91559"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统计指标</w:t>
            </w:r>
          </w:p>
        </w:tc>
        <w:tc>
          <w:tcPr>
            <w:tcW w:w="1392" w:type="dxa"/>
            <w:tcBorders>
              <w:top w:val="single" w:sz="4" w:space="0" w:color="auto"/>
              <w:bottom w:val="single" w:sz="4" w:space="0" w:color="auto"/>
            </w:tcBorders>
            <w:vAlign w:val="center"/>
          </w:tcPr>
          <w:p w14:paraId="5344B872"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proofErr w:type="spellStart"/>
            <w:r w:rsidRPr="0066147A">
              <w:rPr>
                <w:rFonts w:ascii="Times New Roman" w:eastAsia="宋体" w:hAnsi="Times New Roman" w:cs="Times New Roman"/>
                <w:sz w:val="21"/>
                <w14:ligatures w14:val="none"/>
              </w:rPr>
              <w:t>Amivest</w:t>
            </w:r>
            <w:proofErr w:type="spellEnd"/>
          </w:p>
        </w:tc>
        <w:tc>
          <w:tcPr>
            <w:tcW w:w="1391" w:type="dxa"/>
            <w:tcBorders>
              <w:top w:val="single" w:sz="4" w:space="0" w:color="auto"/>
              <w:bottom w:val="single" w:sz="4" w:space="0" w:color="auto"/>
            </w:tcBorders>
            <w:vAlign w:val="center"/>
          </w:tcPr>
          <w:p w14:paraId="0E64C156"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TRADE</w:t>
            </w:r>
          </w:p>
        </w:tc>
        <w:tc>
          <w:tcPr>
            <w:tcW w:w="1379" w:type="dxa"/>
            <w:tcBorders>
              <w:top w:val="single" w:sz="4" w:space="0" w:color="auto"/>
              <w:bottom w:val="single" w:sz="4" w:space="0" w:color="auto"/>
            </w:tcBorders>
            <w:vAlign w:val="center"/>
          </w:tcPr>
          <w:p w14:paraId="4A59C480"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RISK</w:t>
            </w:r>
          </w:p>
        </w:tc>
        <w:tc>
          <w:tcPr>
            <w:tcW w:w="1385" w:type="dxa"/>
            <w:tcBorders>
              <w:top w:val="single" w:sz="4" w:space="0" w:color="auto"/>
              <w:bottom w:val="single" w:sz="4" w:space="0" w:color="auto"/>
            </w:tcBorders>
            <w:vAlign w:val="center"/>
          </w:tcPr>
          <w:p w14:paraId="70D44E8B"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ISSUE</w:t>
            </w:r>
          </w:p>
        </w:tc>
        <w:tc>
          <w:tcPr>
            <w:tcW w:w="1395" w:type="dxa"/>
            <w:tcBorders>
              <w:top w:val="single" w:sz="4" w:space="0" w:color="auto"/>
              <w:bottom w:val="single" w:sz="4" w:space="0" w:color="auto"/>
            </w:tcBorders>
            <w:vAlign w:val="center"/>
          </w:tcPr>
          <w:p w14:paraId="1BD627DB" w14:textId="77777777" w:rsidR="0066147A" w:rsidRPr="0066147A" w:rsidRDefault="0066147A" w:rsidP="0066147A">
            <w:pPr>
              <w:spacing w:after="0" w:line="240" w:lineRule="auto"/>
              <w:jc w:val="both"/>
              <w:rPr>
                <w:rFonts w:ascii="Times New Roman" w:eastAsia="宋体" w:hAnsi="Times New Roman" w:cs="Times New Roman"/>
                <w:sz w:val="21"/>
                <w14:ligatures w14:val="none"/>
              </w:rPr>
            </w:pPr>
            <w:r w:rsidRPr="0066147A">
              <w:rPr>
                <w:rFonts w:ascii="Times New Roman" w:eastAsia="宋体" w:hAnsi="Times New Roman" w:cs="Times New Roman"/>
                <w:sz w:val="21"/>
                <w14:ligatures w14:val="none"/>
              </w:rPr>
              <w:t>CREDIT</w:t>
            </w:r>
          </w:p>
        </w:tc>
      </w:tr>
      <w:tr w:rsidR="0066147A" w:rsidRPr="0066147A" w14:paraId="49257E09" w14:textId="77777777" w:rsidTr="0066147A">
        <w:tc>
          <w:tcPr>
            <w:tcW w:w="1364" w:type="dxa"/>
            <w:tcBorders>
              <w:top w:val="single" w:sz="4" w:space="0" w:color="auto"/>
            </w:tcBorders>
            <w:vAlign w:val="center"/>
          </w:tcPr>
          <w:p w14:paraId="4A9E627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最大值</w:t>
            </w:r>
          </w:p>
        </w:tc>
        <w:tc>
          <w:tcPr>
            <w:tcW w:w="1392" w:type="dxa"/>
            <w:tcBorders>
              <w:top w:val="single" w:sz="4" w:space="0" w:color="auto"/>
            </w:tcBorders>
            <w:vAlign w:val="center"/>
          </w:tcPr>
          <w:p w14:paraId="39336B49"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7.6880</w:t>
            </w:r>
          </w:p>
        </w:tc>
        <w:tc>
          <w:tcPr>
            <w:tcW w:w="1391" w:type="dxa"/>
            <w:tcBorders>
              <w:top w:val="single" w:sz="4" w:space="0" w:color="auto"/>
            </w:tcBorders>
            <w:vAlign w:val="center"/>
          </w:tcPr>
          <w:p w14:paraId="04A79F0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284.8900</w:t>
            </w:r>
          </w:p>
        </w:tc>
        <w:tc>
          <w:tcPr>
            <w:tcW w:w="1379" w:type="dxa"/>
            <w:tcBorders>
              <w:top w:val="single" w:sz="4" w:space="0" w:color="auto"/>
            </w:tcBorders>
            <w:vAlign w:val="center"/>
          </w:tcPr>
          <w:p w14:paraId="2D8C51F1"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6.7220</w:t>
            </w:r>
          </w:p>
        </w:tc>
        <w:tc>
          <w:tcPr>
            <w:tcW w:w="1385" w:type="dxa"/>
            <w:tcBorders>
              <w:top w:val="single" w:sz="4" w:space="0" w:color="auto"/>
            </w:tcBorders>
            <w:vAlign w:val="center"/>
          </w:tcPr>
          <w:p w14:paraId="7B305D3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47.0000</w:t>
            </w:r>
          </w:p>
        </w:tc>
        <w:tc>
          <w:tcPr>
            <w:tcW w:w="1395" w:type="dxa"/>
            <w:tcBorders>
              <w:top w:val="single" w:sz="4" w:space="0" w:color="auto"/>
            </w:tcBorders>
            <w:vAlign w:val="center"/>
          </w:tcPr>
          <w:p w14:paraId="09742E6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2.1200</w:t>
            </w:r>
          </w:p>
        </w:tc>
      </w:tr>
      <w:tr w:rsidR="0066147A" w:rsidRPr="0066147A" w14:paraId="019FCF9B" w14:textId="77777777" w:rsidTr="0066147A">
        <w:tc>
          <w:tcPr>
            <w:tcW w:w="1364" w:type="dxa"/>
            <w:vAlign w:val="center"/>
          </w:tcPr>
          <w:p w14:paraId="3E60FDD4"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最小值</w:t>
            </w:r>
          </w:p>
        </w:tc>
        <w:tc>
          <w:tcPr>
            <w:tcW w:w="1392" w:type="dxa"/>
            <w:vAlign w:val="center"/>
          </w:tcPr>
          <w:p w14:paraId="29F690B3"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-5.3400</w:t>
            </w:r>
          </w:p>
        </w:tc>
        <w:tc>
          <w:tcPr>
            <w:tcW w:w="1391" w:type="dxa"/>
            <w:vAlign w:val="center"/>
          </w:tcPr>
          <w:p w14:paraId="7319DEF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0.0200</w:t>
            </w:r>
          </w:p>
        </w:tc>
        <w:tc>
          <w:tcPr>
            <w:tcW w:w="1379" w:type="dxa"/>
            <w:vAlign w:val="center"/>
          </w:tcPr>
          <w:p w14:paraId="428BB5E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0.0000</w:t>
            </w:r>
          </w:p>
        </w:tc>
        <w:tc>
          <w:tcPr>
            <w:tcW w:w="1385" w:type="dxa"/>
            <w:vAlign w:val="center"/>
          </w:tcPr>
          <w:p w14:paraId="04CEF2E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6.0000</w:t>
            </w:r>
          </w:p>
        </w:tc>
        <w:tc>
          <w:tcPr>
            <w:tcW w:w="1395" w:type="dxa"/>
            <w:vAlign w:val="center"/>
          </w:tcPr>
          <w:p w14:paraId="12487AE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0.0100</w:t>
            </w:r>
          </w:p>
        </w:tc>
      </w:tr>
      <w:tr w:rsidR="0066147A" w:rsidRPr="0066147A" w14:paraId="23C3FECC" w14:textId="77777777" w:rsidTr="0066147A">
        <w:tc>
          <w:tcPr>
            <w:tcW w:w="1364" w:type="dxa"/>
            <w:vAlign w:val="center"/>
          </w:tcPr>
          <w:p w14:paraId="6AEC1F0F"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平均值</w:t>
            </w:r>
          </w:p>
        </w:tc>
        <w:tc>
          <w:tcPr>
            <w:tcW w:w="1392" w:type="dxa"/>
            <w:vAlign w:val="center"/>
          </w:tcPr>
          <w:p w14:paraId="7F7073A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3.0043</w:t>
            </w:r>
          </w:p>
        </w:tc>
        <w:tc>
          <w:tcPr>
            <w:tcW w:w="1391" w:type="dxa"/>
            <w:vAlign w:val="center"/>
          </w:tcPr>
          <w:p w14:paraId="181237D2"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34.3952</w:t>
            </w:r>
          </w:p>
        </w:tc>
        <w:tc>
          <w:tcPr>
            <w:tcW w:w="1379" w:type="dxa"/>
            <w:vAlign w:val="center"/>
          </w:tcPr>
          <w:p w14:paraId="0DF43EE5"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0.1887</w:t>
            </w:r>
          </w:p>
        </w:tc>
        <w:tc>
          <w:tcPr>
            <w:tcW w:w="1385" w:type="dxa"/>
            <w:vAlign w:val="center"/>
          </w:tcPr>
          <w:p w14:paraId="6E1D953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17.6962</w:t>
            </w:r>
          </w:p>
        </w:tc>
        <w:tc>
          <w:tcPr>
            <w:tcW w:w="1395" w:type="dxa"/>
            <w:vAlign w:val="center"/>
          </w:tcPr>
          <w:p w14:paraId="7FF2E18E"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0.7614</w:t>
            </w:r>
          </w:p>
        </w:tc>
      </w:tr>
      <w:tr w:rsidR="0066147A" w:rsidRPr="0066147A" w14:paraId="0BAD9E49" w14:textId="77777777" w:rsidTr="0066147A">
        <w:tc>
          <w:tcPr>
            <w:tcW w:w="1364" w:type="dxa"/>
            <w:vAlign w:val="center"/>
          </w:tcPr>
          <w:p w14:paraId="3112957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中值</w:t>
            </w:r>
          </w:p>
        </w:tc>
        <w:tc>
          <w:tcPr>
            <w:tcW w:w="1392" w:type="dxa"/>
            <w:vAlign w:val="center"/>
          </w:tcPr>
          <w:p w14:paraId="30FD3A18"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3.3866</w:t>
            </w:r>
          </w:p>
        </w:tc>
        <w:tc>
          <w:tcPr>
            <w:tcW w:w="1391" w:type="dxa"/>
            <w:vAlign w:val="center"/>
          </w:tcPr>
          <w:p w14:paraId="7DAA7D3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16.3400</w:t>
            </w:r>
          </w:p>
        </w:tc>
        <w:tc>
          <w:tcPr>
            <w:tcW w:w="1379" w:type="dxa"/>
            <w:vAlign w:val="center"/>
          </w:tcPr>
          <w:p w14:paraId="1092804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0.0412</w:t>
            </w:r>
          </w:p>
        </w:tc>
        <w:tc>
          <w:tcPr>
            <w:tcW w:w="1385" w:type="dxa"/>
            <w:vAlign w:val="center"/>
          </w:tcPr>
          <w:p w14:paraId="5F50AADD"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15.0000</w:t>
            </w:r>
          </w:p>
        </w:tc>
        <w:tc>
          <w:tcPr>
            <w:tcW w:w="1395" w:type="dxa"/>
            <w:vAlign w:val="center"/>
          </w:tcPr>
          <w:p w14:paraId="34B7D686"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0.6500</w:t>
            </w:r>
          </w:p>
        </w:tc>
      </w:tr>
      <w:tr w:rsidR="0066147A" w:rsidRPr="0066147A" w14:paraId="414A07ED" w14:textId="77777777" w:rsidTr="0066147A">
        <w:tc>
          <w:tcPr>
            <w:tcW w:w="1364" w:type="dxa"/>
            <w:vAlign w:val="center"/>
          </w:tcPr>
          <w:p w14:paraId="1E9E1490"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标准差</w:t>
            </w:r>
          </w:p>
        </w:tc>
        <w:tc>
          <w:tcPr>
            <w:tcW w:w="1392" w:type="dxa"/>
            <w:vAlign w:val="center"/>
          </w:tcPr>
          <w:p w14:paraId="31879B13"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1.9624</w:t>
            </w:r>
          </w:p>
        </w:tc>
        <w:tc>
          <w:tcPr>
            <w:tcW w:w="1391" w:type="dxa"/>
            <w:vAlign w:val="center"/>
          </w:tcPr>
          <w:p w14:paraId="3A54FBAC"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44.2700</w:t>
            </w:r>
          </w:p>
        </w:tc>
        <w:tc>
          <w:tcPr>
            <w:tcW w:w="1379" w:type="dxa"/>
            <w:vAlign w:val="center"/>
          </w:tcPr>
          <w:p w14:paraId="6947D22B"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0.6002</w:t>
            </w:r>
          </w:p>
        </w:tc>
        <w:tc>
          <w:tcPr>
            <w:tcW w:w="1385" w:type="dxa"/>
            <w:vAlign w:val="center"/>
          </w:tcPr>
          <w:p w14:paraId="0356AFEA"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10.4971</w:t>
            </w:r>
          </w:p>
        </w:tc>
        <w:tc>
          <w:tcPr>
            <w:tcW w:w="1395" w:type="dxa"/>
            <w:vAlign w:val="center"/>
          </w:tcPr>
          <w:p w14:paraId="2FA753E3" w14:textId="77777777" w:rsidR="0066147A" w:rsidRPr="0066147A" w:rsidRDefault="0066147A" w:rsidP="0066147A">
            <w:pPr>
              <w:spacing w:after="0" w:line="240" w:lineRule="auto"/>
              <w:jc w:val="both"/>
              <w:rPr>
                <w:rFonts w:ascii="Times New Roman" w:eastAsia="宋体" w:hAnsi="Times New Roman" w:cs="Times New Roman"/>
                <w:sz w:val="18"/>
                <w:szCs w:val="18"/>
                <w14:ligatures w14:val="none"/>
              </w:rPr>
            </w:pPr>
            <w:r w:rsidRPr="0066147A">
              <w:rPr>
                <w:rFonts w:ascii="Times New Roman" w:eastAsia="宋体" w:hAnsi="Times New Roman" w:cs="Times New Roman"/>
                <w:sz w:val="18"/>
                <w:szCs w:val="18"/>
                <w14:ligatures w14:val="none"/>
              </w:rPr>
              <w:t>0.5381</w:t>
            </w:r>
          </w:p>
        </w:tc>
      </w:tr>
    </w:tbl>
    <w:p w14:paraId="7959AB72" w14:textId="77777777" w:rsidR="0066147A" w:rsidRPr="0066147A" w:rsidRDefault="0066147A" w:rsidP="0066147A">
      <w:pPr>
        <w:spacing w:after="0" w:line="440" w:lineRule="exact"/>
        <w:jc w:val="both"/>
        <w:outlineLvl w:val="3"/>
        <w:rPr>
          <w:rFonts w:ascii="黑体" w:eastAsia="黑体" w:hAnsi="宋体" w:cs="Times New Roman"/>
          <w:sz w:val="24"/>
          <w14:ligatures w14:val="none"/>
        </w:rPr>
      </w:pPr>
      <w:r w:rsidRPr="0066147A">
        <w:rPr>
          <w:rFonts w:ascii="黑体" w:eastAsia="黑体" w:hAnsi="宋体" w:cs="Times New Roman" w:hint="eastAsia"/>
          <w:sz w:val="24"/>
          <w14:ligatures w14:val="none"/>
        </w:rPr>
        <w:t>四、实证结果及分析</w:t>
      </w:r>
    </w:p>
    <w:p w14:paraId="4DAFC74A" w14:textId="380ACA37" w:rsidR="0066147A" w:rsidRPr="0066147A" w:rsidRDefault="0066147A" w:rsidP="0066147A">
      <w:pPr>
        <w:spacing w:after="0" w:line="440" w:lineRule="atLeast"/>
        <w:ind w:firstLineChars="200" w:firstLine="480"/>
        <w:jc w:val="both"/>
        <w:rPr>
          <w:rFonts w:ascii="Times New Roman" w:eastAsia="宋体" w:hAnsi="Times New Roman" w:cs="Times New Roman" w:hint="eastAsia"/>
          <w:kern w:val="0"/>
          <w:sz w:val="24"/>
          <w14:ligatures w14:val="none"/>
        </w:rPr>
      </w:pPr>
      <w:r w:rsidRPr="0066147A">
        <w:rPr>
          <w:rFonts w:ascii="Times New Roman" w:eastAsia="宋体" w:hAnsi="Times New Roman" w:cs="Times New Roman"/>
          <w:kern w:val="0"/>
          <w:sz w:val="24"/>
          <w14:ligatures w14:val="none"/>
        </w:rPr>
        <w:t>基于以上实证模型和交易所债券样本数据，对面</w:t>
      </w:r>
      <w:proofErr w:type="gramStart"/>
      <w:r w:rsidRPr="0066147A">
        <w:rPr>
          <w:rFonts w:ascii="Times New Roman" w:eastAsia="宋体" w:hAnsi="Times New Roman" w:cs="Times New Roman"/>
          <w:kern w:val="0"/>
          <w:sz w:val="24"/>
          <w14:ligatures w14:val="none"/>
        </w:rPr>
        <w:t>板数据</w:t>
      </w:r>
      <w:proofErr w:type="gramEnd"/>
      <w:r w:rsidRPr="0066147A">
        <w:rPr>
          <w:rFonts w:ascii="Times New Roman" w:eastAsia="宋体" w:hAnsi="Times New Roman" w:cs="Times New Roman"/>
          <w:kern w:val="0"/>
          <w:sz w:val="24"/>
          <w14:ligatures w14:val="none"/>
        </w:rPr>
        <w:t>回归结果见表</w:t>
      </w:r>
      <w:r>
        <w:rPr>
          <w:rFonts w:ascii="Times New Roman" w:eastAsia="宋体" w:hAnsi="Times New Roman" w:cs="Times New Roman" w:hint="eastAsia"/>
          <w:kern w:val="0"/>
          <w:sz w:val="24"/>
          <w14:ligatures w14:val="none"/>
        </w:rPr>
        <w:t>4</w:t>
      </w:r>
      <w:r w:rsidRPr="0066147A">
        <w:rPr>
          <w:rFonts w:ascii="Times New Roman" w:eastAsia="宋体" w:hAnsi="Times New Roman" w:cs="Times New Roman"/>
          <w:kern w:val="0"/>
          <w:sz w:val="24"/>
          <w14:ligatures w14:val="none"/>
        </w:rPr>
        <w:t>：</w:t>
      </w:r>
    </w:p>
    <w:p w14:paraId="6B7D3D38" w14:textId="41DCF352" w:rsidR="0066147A" w:rsidRPr="0066147A" w:rsidRDefault="0066147A" w:rsidP="0066147A">
      <w:pPr>
        <w:spacing w:beforeLines="100" w:before="312" w:after="0" w:line="240" w:lineRule="auto"/>
        <w:jc w:val="center"/>
        <w:rPr>
          <w:rFonts w:ascii="Times New Roman" w:eastAsia="新宋体" w:hAnsi="新宋体" w:cs="Times New Roman" w:hint="eastAsia"/>
          <w:sz w:val="21"/>
          <w:szCs w:val="21"/>
          <w14:ligatures w14:val="none"/>
        </w:rPr>
      </w:pPr>
      <w:bookmarkStart w:id="11" w:name="_Toc246425336"/>
      <w:bookmarkStart w:id="12" w:name="_Toc256506407"/>
      <w:r w:rsidRPr="0066147A">
        <w:rPr>
          <w:rFonts w:ascii="Times New Roman" w:eastAsia="新宋体" w:hAnsi="新宋体" w:cs="Times New Roman" w:hint="eastAsia"/>
          <w:sz w:val="21"/>
          <w:szCs w:val="21"/>
          <w14:ligatures w14:val="none"/>
        </w:rPr>
        <w:t>表</w:t>
      </w:r>
      <w:r>
        <w:rPr>
          <w:rFonts w:ascii="Times New Roman" w:eastAsia="新宋体" w:hAnsi="新宋体" w:cs="Times New Roman" w:hint="eastAsia"/>
          <w:sz w:val="21"/>
          <w:szCs w:val="21"/>
          <w14:ligatures w14:val="none"/>
        </w:rPr>
        <w:t>4</w:t>
      </w:r>
      <w:r w:rsidRPr="0066147A">
        <w:rPr>
          <w:rFonts w:ascii="Times New Roman" w:eastAsia="新宋体" w:hAnsi="新宋体" w:cs="Times New Roman" w:hint="eastAsia"/>
          <w:sz w:val="21"/>
          <w:szCs w:val="21"/>
          <w14:ligatures w14:val="none"/>
        </w:rPr>
        <w:t xml:space="preserve">  </w:t>
      </w:r>
      <w:r w:rsidRPr="0066147A">
        <w:rPr>
          <w:rFonts w:ascii="Times New Roman" w:eastAsia="新宋体" w:hAnsi="新宋体" w:cs="Times New Roman" w:hint="eastAsia"/>
          <w:sz w:val="21"/>
          <w:szCs w:val="21"/>
          <w14:ligatures w14:val="none"/>
        </w:rPr>
        <w:t>模型的系数值及相应的</w:t>
      </w:r>
      <w:r w:rsidRPr="0066147A">
        <w:rPr>
          <w:rFonts w:ascii="Times New Roman" w:eastAsia="新宋体" w:hAnsi="新宋体" w:cs="Times New Roman" w:hint="eastAsia"/>
          <w:sz w:val="21"/>
          <w:szCs w:val="21"/>
          <w14:ligatures w14:val="none"/>
        </w:rPr>
        <w:t>t</w:t>
      </w:r>
      <w:r w:rsidRPr="0066147A">
        <w:rPr>
          <w:rFonts w:ascii="Times New Roman" w:eastAsia="新宋体" w:hAnsi="新宋体" w:cs="Times New Roman" w:hint="eastAsia"/>
          <w:sz w:val="21"/>
          <w:szCs w:val="21"/>
          <w14:ligatures w14:val="none"/>
        </w:rPr>
        <w:t>统计值</w:t>
      </w:r>
      <w:bookmarkEnd w:id="11"/>
      <w:bookmarkEnd w:id="12"/>
    </w:p>
    <w:p w14:paraId="3EA2774B" w14:textId="5331DEF3" w:rsidR="0066147A" w:rsidRPr="0066147A" w:rsidRDefault="0066147A" w:rsidP="0066147A">
      <w:pPr>
        <w:spacing w:after="0" w:line="240" w:lineRule="auto"/>
        <w:jc w:val="center"/>
        <w:rPr>
          <w:rFonts w:ascii="Times New Roman" w:eastAsia="宋体" w:hAnsi="Times New Roman" w:cs="Times New Roman" w:hint="eastAsia"/>
          <w:kern w:val="0"/>
          <w:sz w:val="21"/>
          <w:szCs w:val="21"/>
          <w14:ligatures w14:val="none"/>
        </w:rPr>
      </w:pPr>
      <w:r w:rsidRPr="0066147A">
        <w:rPr>
          <w:rFonts w:ascii="Times New Roman" w:eastAsia="宋体" w:hAnsi="Times New Roman" w:cs="Times New Roman" w:hint="eastAsia"/>
          <w:kern w:val="0"/>
          <w:sz w:val="21"/>
          <w:szCs w:val="21"/>
          <w14:ligatures w14:val="none"/>
        </w:rPr>
        <w:t xml:space="preserve">Table </w:t>
      </w:r>
      <w:proofErr w:type="gramStart"/>
      <w:r>
        <w:rPr>
          <w:rFonts w:ascii="Times New Roman" w:eastAsia="宋体" w:hAnsi="Times New Roman" w:cs="Times New Roman" w:hint="eastAsia"/>
          <w:kern w:val="0"/>
          <w:sz w:val="21"/>
          <w:szCs w:val="21"/>
          <w14:ligatures w14:val="none"/>
        </w:rPr>
        <w:t>4</w:t>
      </w:r>
      <w:r w:rsidRPr="0066147A">
        <w:rPr>
          <w:rFonts w:ascii="Times New Roman" w:eastAsia="宋体" w:hAnsi="Times New Roman" w:cs="Times New Roman" w:hint="eastAsia"/>
          <w:kern w:val="0"/>
          <w:sz w:val="21"/>
          <w:szCs w:val="21"/>
          <w14:ligatures w14:val="none"/>
        </w:rPr>
        <w:t xml:space="preserve">  </w:t>
      </w:r>
      <w:r w:rsidRPr="0066147A">
        <w:rPr>
          <w:rFonts w:ascii="Times New Roman" w:eastAsia="宋体" w:hAnsi="Times New Roman" w:cs="Times New Roman"/>
          <w:kern w:val="0"/>
          <w:sz w:val="21"/>
          <w:szCs w:val="21"/>
          <w14:ligatures w14:val="none"/>
        </w:rPr>
        <w:t>Value</w:t>
      </w:r>
      <w:proofErr w:type="gramEnd"/>
      <w:r w:rsidRPr="0066147A">
        <w:rPr>
          <w:rFonts w:ascii="Times New Roman" w:eastAsia="宋体" w:hAnsi="Times New Roman" w:cs="Times New Roman"/>
          <w:kern w:val="0"/>
          <w:sz w:val="21"/>
          <w:szCs w:val="21"/>
          <w14:ligatures w14:val="none"/>
        </w:rPr>
        <w:t xml:space="preserve"> factor</w:t>
      </w:r>
      <w:r w:rsidRPr="0066147A">
        <w:rPr>
          <w:rFonts w:ascii="Times New Roman" w:eastAsia="宋体" w:hAnsi="Times New Roman" w:cs="Times New Roman" w:hint="eastAsia"/>
          <w:kern w:val="0"/>
          <w:sz w:val="21"/>
          <w:szCs w:val="21"/>
          <w14:ligatures w14:val="none"/>
        </w:rPr>
        <w:t xml:space="preserve"> of m</w:t>
      </w:r>
      <w:r w:rsidRPr="0066147A">
        <w:rPr>
          <w:rFonts w:ascii="Times New Roman" w:eastAsia="宋体" w:hAnsi="Times New Roman" w:cs="Times New Roman"/>
          <w:kern w:val="0"/>
          <w:sz w:val="21"/>
          <w:szCs w:val="21"/>
          <w14:ligatures w14:val="none"/>
        </w:rPr>
        <w:t>odel</w:t>
      </w:r>
      <w:r w:rsidRPr="0066147A">
        <w:rPr>
          <w:rFonts w:ascii="Times New Roman" w:eastAsia="宋体" w:hAnsi="Times New Roman" w:cs="Times New Roman" w:hint="eastAsia"/>
          <w:kern w:val="0"/>
          <w:sz w:val="21"/>
          <w:szCs w:val="21"/>
          <w14:ligatures w14:val="none"/>
        </w:rPr>
        <w:t xml:space="preserve"> and </w:t>
      </w:r>
      <w:r w:rsidRPr="0066147A">
        <w:rPr>
          <w:rFonts w:ascii="Times New Roman" w:eastAsia="宋体" w:hAnsi="Times New Roman" w:cs="Times New Roman"/>
          <w:kern w:val="0"/>
          <w:sz w:val="21"/>
          <w:szCs w:val="21"/>
          <w14:ligatures w14:val="none"/>
        </w:rPr>
        <w:t>“</w:t>
      </w:r>
      <w:r w:rsidRPr="0066147A">
        <w:rPr>
          <w:rFonts w:ascii="Times New Roman" w:eastAsia="宋体" w:hAnsi="Times New Roman" w:cs="Times New Roman" w:hint="eastAsia"/>
          <w:kern w:val="0"/>
          <w:sz w:val="21"/>
          <w:szCs w:val="21"/>
          <w14:ligatures w14:val="none"/>
        </w:rPr>
        <w:t>t</w:t>
      </w:r>
      <w:r w:rsidRPr="0066147A">
        <w:rPr>
          <w:rFonts w:ascii="Times New Roman" w:eastAsia="宋体" w:hAnsi="Times New Roman" w:cs="Times New Roman"/>
          <w:kern w:val="0"/>
          <w:sz w:val="21"/>
          <w:szCs w:val="21"/>
          <w14:ligatures w14:val="none"/>
        </w:rPr>
        <w:t>”</w:t>
      </w:r>
      <w:r w:rsidRPr="0066147A">
        <w:rPr>
          <w:rFonts w:ascii="Times New Roman" w:eastAsia="宋体" w:hAnsi="Times New Roman" w:cs="Times New Roman" w:hint="eastAsia"/>
          <w:kern w:val="0"/>
          <w:sz w:val="21"/>
          <w:szCs w:val="21"/>
          <w14:ligatures w14:val="none"/>
        </w:rPr>
        <w:t xml:space="preserve"> s</w:t>
      </w:r>
      <w:r w:rsidRPr="0066147A">
        <w:rPr>
          <w:rFonts w:ascii="Times New Roman" w:eastAsia="宋体" w:hAnsi="Times New Roman" w:cs="Times New Roman"/>
          <w:kern w:val="0"/>
          <w:sz w:val="21"/>
          <w:szCs w:val="21"/>
          <w14:ligatures w14:val="none"/>
        </w:rPr>
        <w:t>tatistic</w:t>
      </w:r>
    </w:p>
    <w:tbl>
      <w:tblPr>
        <w:tblW w:w="5000" w:type="pct"/>
        <w:tblBorders>
          <w:top w:val="single" w:sz="4" w:space="0" w:color="auto"/>
          <w:bottom w:val="single" w:sz="4" w:space="0" w:color="auto"/>
        </w:tblBorders>
        <w:tblLook w:val="01E0" w:firstRow="1" w:lastRow="1" w:firstColumn="1" w:lastColumn="1" w:noHBand="0" w:noVBand="0"/>
      </w:tblPr>
      <w:tblGrid>
        <w:gridCol w:w="1292"/>
        <w:gridCol w:w="1367"/>
        <w:gridCol w:w="1510"/>
        <w:gridCol w:w="1450"/>
        <w:gridCol w:w="1434"/>
        <w:gridCol w:w="1253"/>
      </w:tblGrid>
      <w:tr w:rsidR="0066147A" w:rsidRPr="0066147A" w14:paraId="4A7BDEFA" w14:textId="77777777" w:rsidTr="00DB24B0">
        <w:trPr>
          <w:trHeight w:val="284"/>
        </w:trPr>
        <w:tc>
          <w:tcPr>
            <w:tcW w:w="778" w:type="pct"/>
            <w:tcBorders>
              <w:top w:val="single" w:sz="4" w:space="0" w:color="auto"/>
              <w:bottom w:val="single" w:sz="4" w:space="0" w:color="auto"/>
            </w:tcBorders>
            <w:vAlign w:val="center"/>
          </w:tcPr>
          <w:p w14:paraId="79C74C16" w14:textId="77777777" w:rsidR="0066147A" w:rsidRPr="0066147A" w:rsidRDefault="0066147A" w:rsidP="0066147A">
            <w:pPr>
              <w:spacing w:after="0" w:line="240" w:lineRule="auto"/>
              <w:jc w:val="both"/>
              <w:rPr>
                <w:rFonts w:ascii="Times New Roman" w:eastAsia="宋体" w:hAnsi="Times New Roman" w:cs="Times New Roman" w:hint="eastAsia"/>
                <w:kern w:val="0"/>
                <w:sz w:val="21"/>
                <w:szCs w:val="21"/>
                <w14:ligatures w14:val="none"/>
              </w:rPr>
            </w:pPr>
            <w:r w:rsidRPr="0066147A">
              <w:rPr>
                <w:rFonts w:ascii="Times New Roman" w:eastAsia="宋体" w:hAnsi="Times New Roman" w:cs="Times New Roman" w:hint="eastAsia"/>
                <w:kern w:val="0"/>
                <w:sz w:val="21"/>
                <w:szCs w:val="21"/>
                <w14:ligatures w14:val="none"/>
              </w:rPr>
              <w:t>指标</w:t>
            </w:r>
          </w:p>
        </w:tc>
        <w:tc>
          <w:tcPr>
            <w:tcW w:w="823" w:type="pct"/>
            <w:tcBorders>
              <w:top w:val="single" w:sz="4" w:space="0" w:color="auto"/>
              <w:bottom w:val="single" w:sz="4" w:space="0" w:color="auto"/>
            </w:tcBorders>
            <w:vAlign w:val="center"/>
          </w:tcPr>
          <w:p w14:paraId="6DBEF202" w14:textId="77777777" w:rsidR="0066147A" w:rsidRPr="0066147A" w:rsidRDefault="0066147A" w:rsidP="0066147A">
            <w:pPr>
              <w:spacing w:after="0" w:line="240" w:lineRule="auto"/>
              <w:jc w:val="both"/>
              <w:rPr>
                <w:rFonts w:ascii="Times New Roman" w:eastAsia="宋体" w:hAnsi="Times New Roman" w:cs="Times New Roman" w:hint="eastAsia"/>
                <w:kern w:val="0"/>
                <w:sz w:val="21"/>
                <w:szCs w:val="21"/>
                <w:vertAlign w:val="subscript"/>
                <w14:ligatures w14:val="none"/>
              </w:rPr>
            </w:pPr>
            <w:r w:rsidRPr="0066147A">
              <w:rPr>
                <w:rFonts w:ascii="Times New Roman" w:eastAsia="宋体" w:hAnsi="Times New Roman" w:cs="Times New Roman" w:hint="eastAsia"/>
                <w:sz w:val="21"/>
                <w:szCs w:val="21"/>
                <w14:ligatures w14:val="none"/>
              </w:rPr>
              <w:t>C</w:t>
            </w:r>
            <w:r w:rsidRPr="0066147A">
              <w:rPr>
                <w:rFonts w:ascii="Times New Roman" w:eastAsia="宋体" w:hAnsi="Times New Roman" w:cs="Times New Roman" w:hint="eastAsia"/>
                <w:sz w:val="21"/>
                <w:szCs w:val="21"/>
                <w:vertAlign w:val="subscript"/>
                <w14:ligatures w14:val="none"/>
              </w:rPr>
              <w:t>0</w:t>
            </w:r>
          </w:p>
        </w:tc>
        <w:tc>
          <w:tcPr>
            <w:tcW w:w="909" w:type="pct"/>
            <w:tcBorders>
              <w:top w:val="single" w:sz="4" w:space="0" w:color="auto"/>
              <w:bottom w:val="single" w:sz="4" w:space="0" w:color="auto"/>
            </w:tcBorders>
            <w:vAlign w:val="center"/>
          </w:tcPr>
          <w:p w14:paraId="5157270B" w14:textId="77777777" w:rsidR="0066147A" w:rsidRPr="0066147A" w:rsidRDefault="0066147A" w:rsidP="0066147A">
            <w:pPr>
              <w:spacing w:after="0" w:line="240" w:lineRule="auto"/>
              <w:jc w:val="both"/>
              <w:rPr>
                <w:rFonts w:ascii="Times New Roman" w:eastAsia="宋体" w:hAnsi="Times New Roman" w:cs="Times New Roman"/>
                <w:kern w:val="0"/>
                <w:sz w:val="21"/>
                <w:szCs w:val="21"/>
                <w14:ligatures w14:val="none"/>
              </w:rPr>
            </w:pPr>
            <w:r w:rsidRPr="0066147A">
              <w:rPr>
                <w:rFonts w:ascii="Times New Roman" w:eastAsia="宋体" w:hAnsi="Times New Roman" w:cs="Times New Roman" w:hint="eastAsia"/>
                <w:sz w:val="21"/>
                <w:szCs w:val="21"/>
                <w14:ligatures w14:val="none"/>
              </w:rPr>
              <w:t>C</w:t>
            </w:r>
            <w:r w:rsidRPr="0066147A">
              <w:rPr>
                <w:rFonts w:ascii="Times New Roman" w:eastAsia="宋体" w:hAnsi="Times New Roman" w:cs="Times New Roman" w:hint="eastAsia"/>
                <w:sz w:val="21"/>
                <w:szCs w:val="21"/>
                <w:vertAlign w:val="subscript"/>
                <w14:ligatures w14:val="none"/>
              </w:rPr>
              <w:t>1</w:t>
            </w:r>
          </w:p>
        </w:tc>
        <w:tc>
          <w:tcPr>
            <w:tcW w:w="873" w:type="pct"/>
            <w:tcBorders>
              <w:top w:val="single" w:sz="4" w:space="0" w:color="auto"/>
              <w:bottom w:val="single" w:sz="4" w:space="0" w:color="auto"/>
            </w:tcBorders>
            <w:vAlign w:val="center"/>
          </w:tcPr>
          <w:p w14:paraId="1781B5A1" w14:textId="77777777" w:rsidR="0066147A" w:rsidRPr="0066147A" w:rsidRDefault="0066147A" w:rsidP="0066147A">
            <w:pPr>
              <w:spacing w:after="0" w:line="240" w:lineRule="auto"/>
              <w:jc w:val="both"/>
              <w:rPr>
                <w:rFonts w:ascii="Times New Roman" w:eastAsia="宋体" w:hAnsi="Times New Roman" w:cs="Times New Roman"/>
                <w:kern w:val="0"/>
                <w:sz w:val="21"/>
                <w:szCs w:val="21"/>
                <w14:ligatures w14:val="none"/>
              </w:rPr>
            </w:pPr>
            <w:r w:rsidRPr="0066147A">
              <w:rPr>
                <w:rFonts w:ascii="Times New Roman" w:eastAsia="宋体" w:hAnsi="Times New Roman" w:cs="Times New Roman" w:hint="eastAsia"/>
                <w:sz w:val="21"/>
                <w:szCs w:val="21"/>
                <w14:ligatures w14:val="none"/>
              </w:rPr>
              <w:t>C</w:t>
            </w:r>
            <w:r w:rsidRPr="0066147A">
              <w:rPr>
                <w:rFonts w:ascii="Times New Roman" w:eastAsia="宋体" w:hAnsi="Times New Roman" w:cs="Times New Roman" w:hint="eastAsia"/>
                <w:sz w:val="21"/>
                <w:szCs w:val="21"/>
                <w:vertAlign w:val="subscript"/>
                <w14:ligatures w14:val="none"/>
              </w:rPr>
              <w:t>2</w:t>
            </w:r>
          </w:p>
        </w:tc>
        <w:tc>
          <w:tcPr>
            <w:tcW w:w="863" w:type="pct"/>
            <w:tcBorders>
              <w:top w:val="single" w:sz="4" w:space="0" w:color="auto"/>
              <w:bottom w:val="single" w:sz="4" w:space="0" w:color="auto"/>
            </w:tcBorders>
            <w:vAlign w:val="center"/>
          </w:tcPr>
          <w:p w14:paraId="662192CA" w14:textId="77777777" w:rsidR="0066147A" w:rsidRPr="0066147A" w:rsidRDefault="0066147A" w:rsidP="0066147A">
            <w:pPr>
              <w:spacing w:after="0" w:line="240" w:lineRule="auto"/>
              <w:jc w:val="both"/>
              <w:rPr>
                <w:rFonts w:ascii="Times New Roman" w:eastAsia="宋体" w:hAnsi="Times New Roman" w:cs="Times New Roman"/>
                <w:kern w:val="0"/>
                <w:sz w:val="21"/>
                <w:szCs w:val="21"/>
                <w14:ligatures w14:val="none"/>
              </w:rPr>
            </w:pPr>
            <w:r w:rsidRPr="0066147A">
              <w:rPr>
                <w:rFonts w:ascii="Times New Roman" w:eastAsia="宋体" w:hAnsi="Times New Roman" w:cs="Times New Roman" w:hint="eastAsia"/>
                <w:sz w:val="21"/>
                <w:szCs w:val="21"/>
                <w14:ligatures w14:val="none"/>
              </w:rPr>
              <w:t>C</w:t>
            </w:r>
            <w:r w:rsidRPr="0066147A">
              <w:rPr>
                <w:rFonts w:ascii="Times New Roman" w:eastAsia="宋体" w:hAnsi="Times New Roman" w:cs="Times New Roman" w:hint="eastAsia"/>
                <w:sz w:val="21"/>
                <w:szCs w:val="21"/>
                <w:vertAlign w:val="subscript"/>
                <w14:ligatures w14:val="none"/>
              </w:rPr>
              <w:t>3</w:t>
            </w:r>
          </w:p>
        </w:tc>
        <w:tc>
          <w:tcPr>
            <w:tcW w:w="754" w:type="pct"/>
            <w:tcBorders>
              <w:top w:val="single" w:sz="4" w:space="0" w:color="auto"/>
              <w:bottom w:val="single" w:sz="4" w:space="0" w:color="auto"/>
            </w:tcBorders>
            <w:vAlign w:val="center"/>
          </w:tcPr>
          <w:p w14:paraId="31093D27" w14:textId="77777777" w:rsidR="0066147A" w:rsidRPr="0066147A" w:rsidRDefault="0066147A" w:rsidP="0066147A">
            <w:pPr>
              <w:spacing w:after="0" w:line="240" w:lineRule="auto"/>
              <w:jc w:val="both"/>
              <w:rPr>
                <w:rFonts w:ascii="Times New Roman" w:eastAsia="宋体" w:hAnsi="Times New Roman" w:cs="Times New Roman"/>
                <w:sz w:val="21"/>
                <w:szCs w:val="21"/>
                <w14:ligatures w14:val="none"/>
              </w:rPr>
            </w:pPr>
            <w:r w:rsidRPr="0066147A">
              <w:rPr>
                <w:rFonts w:ascii="Times New Roman" w:eastAsia="宋体" w:hAnsi="Times New Roman" w:cs="Times New Roman" w:hint="eastAsia"/>
                <w:sz w:val="21"/>
                <w:szCs w:val="21"/>
                <w14:ligatures w14:val="none"/>
              </w:rPr>
              <w:t>C</w:t>
            </w:r>
            <w:r w:rsidRPr="0066147A">
              <w:rPr>
                <w:rFonts w:ascii="Times New Roman" w:eastAsia="宋体" w:hAnsi="Times New Roman" w:cs="Times New Roman" w:hint="eastAsia"/>
                <w:sz w:val="21"/>
                <w:szCs w:val="21"/>
                <w:vertAlign w:val="subscript"/>
                <w14:ligatures w14:val="none"/>
              </w:rPr>
              <w:t>4</w:t>
            </w:r>
          </w:p>
        </w:tc>
      </w:tr>
      <w:tr w:rsidR="0066147A" w:rsidRPr="0066147A" w14:paraId="0BED8F7F" w14:textId="77777777" w:rsidTr="00DB24B0">
        <w:trPr>
          <w:trHeight w:val="447"/>
        </w:trPr>
        <w:tc>
          <w:tcPr>
            <w:tcW w:w="778" w:type="pct"/>
            <w:tcBorders>
              <w:top w:val="single" w:sz="4" w:space="0" w:color="auto"/>
            </w:tcBorders>
            <w:vAlign w:val="center"/>
          </w:tcPr>
          <w:p w14:paraId="0D26068C" w14:textId="77777777" w:rsidR="0066147A" w:rsidRPr="0066147A" w:rsidRDefault="0066147A" w:rsidP="0066147A">
            <w:pPr>
              <w:spacing w:after="0" w:line="240" w:lineRule="auto"/>
              <w:jc w:val="both"/>
              <w:rPr>
                <w:rFonts w:ascii="Times New Roman" w:eastAsia="宋体" w:hAnsi="Times New Roman" w:cs="Times New Roman"/>
                <w:kern w:val="0"/>
                <w:sz w:val="18"/>
                <w:szCs w:val="18"/>
                <w14:ligatures w14:val="none"/>
              </w:rPr>
            </w:pPr>
            <w:r w:rsidRPr="0066147A">
              <w:rPr>
                <w:rFonts w:ascii="Times New Roman" w:eastAsia="宋体" w:hAnsi="Times New Roman" w:cs="Times New Roman"/>
                <w:kern w:val="0"/>
                <w:sz w:val="18"/>
                <w:szCs w:val="18"/>
                <w14:ligatures w14:val="none"/>
              </w:rPr>
              <w:t>系数值</w:t>
            </w:r>
          </w:p>
        </w:tc>
        <w:tc>
          <w:tcPr>
            <w:tcW w:w="823" w:type="pct"/>
            <w:tcBorders>
              <w:top w:val="single" w:sz="4" w:space="0" w:color="auto"/>
            </w:tcBorders>
            <w:vAlign w:val="center"/>
          </w:tcPr>
          <w:p w14:paraId="06D5E7A7" w14:textId="77777777" w:rsidR="0066147A" w:rsidRPr="0066147A" w:rsidRDefault="0066147A" w:rsidP="0066147A">
            <w:pPr>
              <w:spacing w:after="0" w:line="240" w:lineRule="auto"/>
              <w:jc w:val="both"/>
              <w:rPr>
                <w:rFonts w:ascii="Times New Roman" w:eastAsia="宋体" w:hAnsi="Times New Roman" w:cs="Times New Roman"/>
                <w:kern w:val="0"/>
                <w:sz w:val="18"/>
                <w:szCs w:val="18"/>
                <w14:ligatures w14:val="none"/>
              </w:rPr>
            </w:pPr>
            <w:r w:rsidRPr="0066147A">
              <w:rPr>
                <w:rFonts w:ascii="Times New Roman" w:eastAsia="宋体" w:hAnsi="Times New Roman" w:cs="Times New Roman"/>
                <w:kern w:val="0"/>
                <w:sz w:val="18"/>
                <w:szCs w:val="18"/>
                <w14:ligatures w14:val="none"/>
              </w:rPr>
              <w:t>2.239 </w:t>
            </w:r>
          </w:p>
        </w:tc>
        <w:tc>
          <w:tcPr>
            <w:tcW w:w="909" w:type="pct"/>
            <w:tcBorders>
              <w:top w:val="single" w:sz="4" w:space="0" w:color="auto"/>
            </w:tcBorders>
            <w:vAlign w:val="center"/>
          </w:tcPr>
          <w:p w14:paraId="5724AD62" w14:textId="77777777" w:rsidR="0066147A" w:rsidRPr="0066147A" w:rsidRDefault="0066147A" w:rsidP="0066147A">
            <w:pPr>
              <w:spacing w:after="0" w:line="240" w:lineRule="auto"/>
              <w:jc w:val="both"/>
              <w:rPr>
                <w:rFonts w:ascii="Times New Roman" w:eastAsia="宋体" w:hAnsi="Times New Roman" w:cs="Times New Roman"/>
                <w:kern w:val="0"/>
                <w:sz w:val="18"/>
                <w:szCs w:val="18"/>
                <w14:ligatures w14:val="none"/>
              </w:rPr>
            </w:pPr>
            <w:r w:rsidRPr="0066147A">
              <w:rPr>
                <w:rFonts w:ascii="Times New Roman" w:eastAsia="宋体" w:hAnsi="Times New Roman" w:cs="Times New Roman"/>
                <w:kern w:val="0"/>
                <w:sz w:val="18"/>
                <w:szCs w:val="18"/>
                <w14:ligatures w14:val="none"/>
              </w:rPr>
              <w:t>0.251</w:t>
            </w:r>
          </w:p>
        </w:tc>
        <w:tc>
          <w:tcPr>
            <w:tcW w:w="873" w:type="pct"/>
            <w:tcBorders>
              <w:top w:val="single" w:sz="4" w:space="0" w:color="auto"/>
            </w:tcBorders>
            <w:vAlign w:val="center"/>
          </w:tcPr>
          <w:p w14:paraId="351C7FE3" w14:textId="77777777" w:rsidR="0066147A" w:rsidRPr="0066147A" w:rsidRDefault="0066147A" w:rsidP="0066147A">
            <w:pPr>
              <w:spacing w:after="0" w:line="240" w:lineRule="auto"/>
              <w:jc w:val="both"/>
              <w:rPr>
                <w:rFonts w:ascii="Times New Roman" w:eastAsia="宋体" w:hAnsi="Times New Roman" w:cs="Times New Roman"/>
                <w:kern w:val="0"/>
                <w:sz w:val="18"/>
                <w:szCs w:val="18"/>
                <w14:ligatures w14:val="none"/>
              </w:rPr>
            </w:pPr>
            <w:r w:rsidRPr="0066147A">
              <w:rPr>
                <w:rFonts w:ascii="Times New Roman" w:eastAsia="宋体" w:hAnsi="Times New Roman" w:cs="Times New Roman"/>
                <w:kern w:val="0"/>
                <w:sz w:val="18"/>
                <w:szCs w:val="18"/>
                <w14:ligatures w14:val="none"/>
              </w:rPr>
              <w:t>0.027</w:t>
            </w:r>
          </w:p>
        </w:tc>
        <w:tc>
          <w:tcPr>
            <w:tcW w:w="863" w:type="pct"/>
            <w:tcBorders>
              <w:top w:val="single" w:sz="4" w:space="0" w:color="auto"/>
            </w:tcBorders>
            <w:vAlign w:val="center"/>
          </w:tcPr>
          <w:p w14:paraId="216307E6" w14:textId="77777777" w:rsidR="0066147A" w:rsidRPr="0066147A" w:rsidRDefault="0066147A" w:rsidP="0066147A">
            <w:pPr>
              <w:spacing w:after="0" w:line="240" w:lineRule="auto"/>
              <w:jc w:val="both"/>
              <w:rPr>
                <w:rFonts w:ascii="Times New Roman" w:eastAsia="宋体" w:hAnsi="Times New Roman" w:cs="Times New Roman"/>
                <w:kern w:val="0"/>
                <w:sz w:val="18"/>
                <w:szCs w:val="18"/>
                <w14:ligatures w14:val="none"/>
              </w:rPr>
            </w:pPr>
            <w:r w:rsidRPr="0066147A">
              <w:rPr>
                <w:rFonts w:ascii="Times New Roman" w:eastAsia="宋体" w:hAnsi="Times New Roman" w:cs="Times New Roman"/>
                <w:kern w:val="0"/>
                <w:sz w:val="18"/>
                <w:szCs w:val="18"/>
                <w14:ligatures w14:val="none"/>
              </w:rPr>
              <w:t>-0.979</w:t>
            </w:r>
          </w:p>
        </w:tc>
        <w:tc>
          <w:tcPr>
            <w:tcW w:w="754" w:type="pct"/>
            <w:tcBorders>
              <w:top w:val="single" w:sz="4" w:space="0" w:color="auto"/>
            </w:tcBorders>
            <w:vAlign w:val="center"/>
          </w:tcPr>
          <w:p w14:paraId="6F32D3A0" w14:textId="77777777" w:rsidR="0066147A" w:rsidRPr="0066147A" w:rsidRDefault="0066147A" w:rsidP="0066147A">
            <w:pPr>
              <w:spacing w:after="0" w:line="240" w:lineRule="auto"/>
              <w:jc w:val="both"/>
              <w:rPr>
                <w:rFonts w:ascii="Times New Roman" w:eastAsia="宋体" w:hAnsi="Times New Roman" w:cs="Times New Roman"/>
                <w:kern w:val="0"/>
                <w:sz w:val="18"/>
                <w:szCs w:val="18"/>
                <w14:ligatures w14:val="none"/>
              </w:rPr>
            </w:pPr>
            <w:r w:rsidRPr="0066147A">
              <w:rPr>
                <w:rFonts w:ascii="Times New Roman" w:eastAsia="宋体" w:hAnsi="Times New Roman" w:cs="Times New Roman"/>
                <w:kern w:val="0"/>
                <w:sz w:val="18"/>
                <w:szCs w:val="18"/>
                <w14:ligatures w14:val="none"/>
              </w:rPr>
              <w:t>-0.009</w:t>
            </w:r>
          </w:p>
        </w:tc>
      </w:tr>
      <w:tr w:rsidR="0066147A" w:rsidRPr="0066147A" w14:paraId="56462588" w14:textId="77777777" w:rsidTr="00DB24B0">
        <w:trPr>
          <w:trHeight w:val="284"/>
        </w:trPr>
        <w:tc>
          <w:tcPr>
            <w:tcW w:w="778" w:type="pct"/>
            <w:vAlign w:val="center"/>
          </w:tcPr>
          <w:p w14:paraId="33A6C40B" w14:textId="77777777" w:rsidR="0066147A" w:rsidRPr="0066147A" w:rsidRDefault="0066147A" w:rsidP="0066147A">
            <w:pPr>
              <w:spacing w:after="0" w:line="240" w:lineRule="auto"/>
              <w:jc w:val="both"/>
              <w:rPr>
                <w:rFonts w:ascii="Times New Roman" w:eastAsia="宋体" w:hAnsi="Times New Roman" w:cs="Times New Roman"/>
                <w:kern w:val="0"/>
                <w:sz w:val="18"/>
                <w:szCs w:val="18"/>
                <w14:ligatures w14:val="none"/>
              </w:rPr>
            </w:pPr>
            <w:r w:rsidRPr="0066147A">
              <w:rPr>
                <w:rFonts w:ascii="Times New Roman" w:eastAsia="宋体" w:hAnsi="Times New Roman" w:cs="Times New Roman"/>
                <w:kern w:val="0"/>
                <w:sz w:val="18"/>
                <w:szCs w:val="18"/>
                <w14:ligatures w14:val="none"/>
              </w:rPr>
              <w:t>t</w:t>
            </w:r>
            <w:r w:rsidRPr="0066147A">
              <w:rPr>
                <w:rFonts w:ascii="Times New Roman" w:eastAsia="宋体" w:hAnsi="Times New Roman" w:cs="Times New Roman"/>
                <w:kern w:val="0"/>
                <w:sz w:val="18"/>
                <w:szCs w:val="18"/>
                <w14:ligatures w14:val="none"/>
              </w:rPr>
              <w:t>值</w:t>
            </w:r>
          </w:p>
        </w:tc>
        <w:tc>
          <w:tcPr>
            <w:tcW w:w="823" w:type="pct"/>
            <w:vAlign w:val="center"/>
          </w:tcPr>
          <w:p w14:paraId="1FBBA9B9" w14:textId="77777777" w:rsidR="0066147A" w:rsidRPr="0066147A" w:rsidRDefault="0066147A" w:rsidP="0066147A">
            <w:pPr>
              <w:spacing w:after="0" w:line="240" w:lineRule="auto"/>
              <w:jc w:val="both"/>
              <w:rPr>
                <w:rFonts w:ascii="Times New Roman" w:eastAsia="宋体" w:hAnsi="Times New Roman" w:cs="Times New Roman"/>
                <w:kern w:val="0"/>
                <w:sz w:val="18"/>
                <w:szCs w:val="18"/>
                <w:vertAlign w:val="superscript"/>
                <w14:ligatures w14:val="none"/>
              </w:rPr>
            </w:pPr>
            <w:r w:rsidRPr="0066147A">
              <w:rPr>
                <w:rFonts w:ascii="Times New Roman" w:eastAsia="宋体" w:hAnsi="Times New Roman" w:cs="Times New Roman"/>
                <w:kern w:val="0"/>
                <w:sz w:val="18"/>
                <w:szCs w:val="18"/>
                <w14:ligatures w14:val="none"/>
              </w:rPr>
              <w:t>18.141</w:t>
            </w:r>
            <w:r w:rsidRPr="0066147A">
              <w:rPr>
                <w:rFonts w:ascii="Times New Roman" w:eastAsia="宋体" w:hAnsi="Times New Roman" w:cs="Times New Roman"/>
                <w:kern w:val="0"/>
                <w:sz w:val="18"/>
                <w:szCs w:val="18"/>
                <w:vertAlign w:val="superscript"/>
                <w14:ligatures w14:val="none"/>
              </w:rPr>
              <w:t>***</w:t>
            </w:r>
          </w:p>
        </w:tc>
        <w:tc>
          <w:tcPr>
            <w:tcW w:w="909" w:type="pct"/>
            <w:vAlign w:val="center"/>
          </w:tcPr>
          <w:p w14:paraId="7D6ADBDF" w14:textId="77777777" w:rsidR="0066147A" w:rsidRPr="0066147A" w:rsidRDefault="0066147A" w:rsidP="0066147A">
            <w:pPr>
              <w:spacing w:after="0" w:line="240" w:lineRule="auto"/>
              <w:jc w:val="both"/>
              <w:rPr>
                <w:rFonts w:ascii="Times New Roman" w:eastAsia="宋体" w:hAnsi="Times New Roman" w:cs="Times New Roman"/>
                <w:kern w:val="0"/>
                <w:sz w:val="18"/>
                <w:szCs w:val="18"/>
                <w:vertAlign w:val="superscript"/>
                <w14:ligatures w14:val="none"/>
              </w:rPr>
            </w:pPr>
            <w:r w:rsidRPr="0066147A">
              <w:rPr>
                <w:rFonts w:ascii="Times New Roman" w:eastAsia="宋体" w:hAnsi="Times New Roman" w:cs="Times New Roman"/>
                <w:kern w:val="0"/>
                <w:sz w:val="18"/>
                <w:szCs w:val="18"/>
                <w14:ligatures w14:val="none"/>
              </w:rPr>
              <w:t>2.295</w:t>
            </w:r>
            <w:r w:rsidRPr="0066147A">
              <w:rPr>
                <w:rFonts w:ascii="Times New Roman" w:eastAsia="宋体" w:hAnsi="Times New Roman" w:cs="Times New Roman"/>
                <w:kern w:val="0"/>
                <w:sz w:val="18"/>
                <w:szCs w:val="18"/>
                <w:vertAlign w:val="superscript"/>
                <w14:ligatures w14:val="none"/>
              </w:rPr>
              <w:t>**</w:t>
            </w:r>
          </w:p>
        </w:tc>
        <w:tc>
          <w:tcPr>
            <w:tcW w:w="873" w:type="pct"/>
            <w:vAlign w:val="center"/>
          </w:tcPr>
          <w:p w14:paraId="0781E6A9" w14:textId="77777777" w:rsidR="0066147A" w:rsidRPr="0066147A" w:rsidRDefault="0066147A" w:rsidP="0066147A">
            <w:pPr>
              <w:spacing w:after="0" w:line="240" w:lineRule="auto"/>
              <w:jc w:val="both"/>
              <w:rPr>
                <w:rFonts w:ascii="Times New Roman" w:eastAsia="宋体" w:hAnsi="Times New Roman" w:cs="Times New Roman"/>
                <w:kern w:val="0"/>
                <w:sz w:val="18"/>
                <w:szCs w:val="18"/>
                <w:vertAlign w:val="superscript"/>
                <w14:ligatures w14:val="none"/>
              </w:rPr>
            </w:pPr>
            <w:r w:rsidRPr="0066147A">
              <w:rPr>
                <w:rFonts w:ascii="Times New Roman" w:eastAsia="宋体" w:hAnsi="Times New Roman" w:cs="Times New Roman"/>
                <w:kern w:val="0"/>
                <w:sz w:val="18"/>
                <w:szCs w:val="18"/>
                <w14:ligatures w14:val="none"/>
              </w:rPr>
              <w:t>21.163</w:t>
            </w:r>
            <w:r w:rsidRPr="0066147A">
              <w:rPr>
                <w:rFonts w:ascii="Times New Roman" w:eastAsia="宋体" w:hAnsi="Times New Roman" w:cs="Times New Roman"/>
                <w:kern w:val="0"/>
                <w:sz w:val="18"/>
                <w:szCs w:val="18"/>
                <w:vertAlign w:val="superscript"/>
                <w14:ligatures w14:val="none"/>
              </w:rPr>
              <w:t>***</w:t>
            </w:r>
          </w:p>
        </w:tc>
        <w:tc>
          <w:tcPr>
            <w:tcW w:w="863" w:type="pct"/>
            <w:vAlign w:val="center"/>
          </w:tcPr>
          <w:p w14:paraId="1D7AA38F" w14:textId="77777777" w:rsidR="0066147A" w:rsidRPr="0066147A" w:rsidRDefault="0066147A" w:rsidP="0066147A">
            <w:pPr>
              <w:spacing w:after="0" w:line="240" w:lineRule="auto"/>
              <w:jc w:val="both"/>
              <w:rPr>
                <w:rFonts w:ascii="Times New Roman" w:eastAsia="宋体" w:hAnsi="Times New Roman" w:cs="Times New Roman"/>
                <w:kern w:val="0"/>
                <w:sz w:val="18"/>
                <w:szCs w:val="18"/>
                <w:vertAlign w:val="superscript"/>
                <w14:ligatures w14:val="none"/>
              </w:rPr>
            </w:pPr>
            <w:r w:rsidRPr="0066147A">
              <w:rPr>
                <w:rFonts w:ascii="Times New Roman" w:eastAsia="宋体" w:hAnsi="Times New Roman" w:cs="Times New Roman"/>
                <w:kern w:val="0"/>
                <w:sz w:val="18"/>
                <w:szCs w:val="18"/>
                <w14:ligatures w14:val="none"/>
              </w:rPr>
              <w:t>-10.686</w:t>
            </w:r>
            <w:r w:rsidRPr="0066147A">
              <w:rPr>
                <w:rFonts w:ascii="Times New Roman" w:eastAsia="宋体" w:hAnsi="Times New Roman" w:cs="Times New Roman"/>
                <w:kern w:val="0"/>
                <w:sz w:val="18"/>
                <w:szCs w:val="18"/>
                <w:vertAlign w:val="superscript"/>
                <w14:ligatures w14:val="none"/>
              </w:rPr>
              <w:t>***</w:t>
            </w:r>
          </w:p>
        </w:tc>
        <w:tc>
          <w:tcPr>
            <w:tcW w:w="754" w:type="pct"/>
            <w:vAlign w:val="center"/>
          </w:tcPr>
          <w:p w14:paraId="04E16757" w14:textId="77777777" w:rsidR="0066147A" w:rsidRPr="0066147A" w:rsidRDefault="0066147A" w:rsidP="0066147A">
            <w:pPr>
              <w:spacing w:after="0" w:line="240" w:lineRule="auto"/>
              <w:jc w:val="both"/>
              <w:rPr>
                <w:rFonts w:ascii="Times New Roman" w:eastAsia="宋体" w:hAnsi="Times New Roman" w:cs="Times New Roman"/>
                <w:kern w:val="0"/>
                <w:sz w:val="18"/>
                <w:szCs w:val="18"/>
                <w:vertAlign w:val="superscript"/>
                <w14:ligatures w14:val="none"/>
              </w:rPr>
            </w:pPr>
            <w:r w:rsidRPr="0066147A">
              <w:rPr>
                <w:rFonts w:ascii="Times New Roman" w:eastAsia="宋体" w:hAnsi="Times New Roman" w:cs="Times New Roman"/>
                <w:kern w:val="0"/>
                <w:sz w:val="18"/>
                <w:szCs w:val="18"/>
                <w14:ligatures w14:val="none"/>
              </w:rPr>
              <w:t>-1.726</w:t>
            </w:r>
            <w:r w:rsidRPr="0066147A">
              <w:rPr>
                <w:rFonts w:ascii="Times New Roman" w:eastAsia="宋体" w:hAnsi="Times New Roman" w:cs="Times New Roman"/>
                <w:kern w:val="0"/>
                <w:sz w:val="18"/>
                <w:szCs w:val="18"/>
                <w:vertAlign w:val="superscript"/>
                <w14:ligatures w14:val="none"/>
              </w:rPr>
              <w:t>*</w:t>
            </w:r>
          </w:p>
        </w:tc>
      </w:tr>
      <w:tr w:rsidR="0066147A" w:rsidRPr="0066147A" w14:paraId="6A08C51D" w14:textId="77777777" w:rsidTr="00DB24B0">
        <w:trPr>
          <w:trHeight w:val="284"/>
        </w:trPr>
        <w:tc>
          <w:tcPr>
            <w:tcW w:w="778" w:type="pct"/>
            <w:vAlign w:val="center"/>
          </w:tcPr>
          <w:p w14:paraId="5C1AC3B2" w14:textId="77777777" w:rsidR="0066147A" w:rsidRPr="0066147A" w:rsidRDefault="0066147A" w:rsidP="0066147A">
            <w:pPr>
              <w:spacing w:after="0" w:line="240" w:lineRule="auto"/>
              <w:jc w:val="both"/>
              <w:rPr>
                <w:rFonts w:ascii="Times New Roman" w:eastAsia="宋体" w:hAnsi="Times New Roman" w:cs="Times New Roman"/>
                <w:kern w:val="0"/>
                <w:sz w:val="18"/>
                <w:szCs w:val="18"/>
                <w:vertAlign w:val="superscript"/>
                <w14:ligatures w14:val="none"/>
              </w:rPr>
            </w:pPr>
            <w:r w:rsidRPr="0066147A">
              <w:rPr>
                <w:rFonts w:ascii="Times New Roman" w:eastAsia="宋体" w:hAnsi="Times New Roman" w:cs="Times New Roman"/>
                <w:kern w:val="0"/>
                <w:sz w:val="18"/>
                <w:szCs w:val="18"/>
                <w14:ligatures w14:val="none"/>
              </w:rPr>
              <w:t>Adj-R</w:t>
            </w:r>
            <w:r w:rsidRPr="0066147A">
              <w:rPr>
                <w:rFonts w:ascii="Times New Roman" w:eastAsia="宋体" w:hAnsi="Times New Roman" w:cs="Times New Roman"/>
                <w:kern w:val="0"/>
                <w:sz w:val="18"/>
                <w:szCs w:val="18"/>
                <w:vertAlign w:val="superscript"/>
                <w14:ligatures w14:val="none"/>
              </w:rPr>
              <w:t>2</w:t>
            </w:r>
          </w:p>
        </w:tc>
        <w:tc>
          <w:tcPr>
            <w:tcW w:w="4222" w:type="pct"/>
            <w:gridSpan w:val="5"/>
            <w:vAlign w:val="center"/>
          </w:tcPr>
          <w:p w14:paraId="09D27615" w14:textId="77777777" w:rsidR="0066147A" w:rsidRPr="0066147A" w:rsidRDefault="0066147A" w:rsidP="0066147A">
            <w:pPr>
              <w:spacing w:after="0" w:line="240" w:lineRule="auto"/>
              <w:jc w:val="center"/>
              <w:rPr>
                <w:rFonts w:ascii="Times New Roman" w:eastAsia="宋体" w:hAnsi="Times New Roman" w:cs="Times New Roman"/>
                <w:kern w:val="0"/>
                <w:sz w:val="18"/>
                <w:szCs w:val="18"/>
                <w14:ligatures w14:val="none"/>
              </w:rPr>
            </w:pPr>
            <w:r w:rsidRPr="0066147A">
              <w:rPr>
                <w:rFonts w:ascii="Times New Roman" w:eastAsia="宋体" w:hAnsi="Times New Roman" w:cs="Times New Roman"/>
                <w:kern w:val="0"/>
                <w:sz w:val="18"/>
                <w:szCs w:val="18"/>
                <w14:ligatures w14:val="none"/>
              </w:rPr>
              <w:t>0.454</w:t>
            </w:r>
          </w:p>
        </w:tc>
      </w:tr>
      <w:tr w:rsidR="0066147A" w:rsidRPr="0066147A" w14:paraId="4F657D0B" w14:textId="77777777" w:rsidTr="00DB24B0">
        <w:trPr>
          <w:trHeight w:val="284"/>
        </w:trPr>
        <w:tc>
          <w:tcPr>
            <w:tcW w:w="778" w:type="pct"/>
            <w:vAlign w:val="center"/>
          </w:tcPr>
          <w:p w14:paraId="6D7EE04B" w14:textId="77777777" w:rsidR="0066147A" w:rsidRPr="0066147A" w:rsidRDefault="0066147A" w:rsidP="0066147A">
            <w:pPr>
              <w:spacing w:after="0" w:line="240" w:lineRule="auto"/>
              <w:jc w:val="both"/>
              <w:rPr>
                <w:rFonts w:ascii="Times New Roman" w:eastAsia="宋体" w:hAnsi="Times New Roman" w:cs="Times New Roman"/>
                <w:kern w:val="0"/>
                <w:sz w:val="18"/>
                <w:szCs w:val="18"/>
                <w14:ligatures w14:val="none"/>
              </w:rPr>
            </w:pPr>
            <w:r w:rsidRPr="0066147A">
              <w:rPr>
                <w:rFonts w:ascii="Times New Roman" w:eastAsia="宋体" w:hAnsi="Times New Roman" w:cs="Times New Roman"/>
                <w:kern w:val="0"/>
                <w:sz w:val="18"/>
                <w:szCs w:val="18"/>
                <w14:ligatures w14:val="none"/>
              </w:rPr>
              <w:t>F</w:t>
            </w:r>
            <w:r w:rsidRPr="0066147A">
              <w:rPr>
                <w:rFonts w:ascii="Times New Roman" w:eastAsia="宋体" w:hAnsi="Times New Roman" w:cs="Times New Roman"/>
                <w:kern w:val="0"/>
                <w:sz w:val="18"/>
                <w:szCs w:val="18"/>
                <w14:ligatures w14:val="none"/>
              </w:rPr>
              <w:t>值</w:t>
            </w:r>
          </w:p>
        </w:tc>
        <w:tc>
          <w:tcPr>
            <w:tcW w:w="4222" w:type="pct"/>
            <w:gridSpan w:val="5"/>
            <w:vAlign w:val="center"/>
          </w:tcPr>
          <w:p w14:paraId="376F99A1" w14:textId="77777777" w:rsidR="0066147A" w:rsidRPr="0066147A" w:rsidRDefault="0066147A" w:rsidP="0066147A">
            <w:pPr>
              <w:spacing w:after="0" w:line="240" w:lineRule="auto"/>
              <w:jc w:val="center"/>
              <w:rPr>
                <w:rFonts w:ascii="Times New Roman" w:eastAsia="宋体" w:hAnsi="Times New Roman" w:cs="Times New Roman"/>
                <w:kern w:val="0"/>
                <w:sz w:val="18"/>
                <w:szCs w:val="18"/>
                <w:vertAlign w:val="superscript"/>
                <w14:ligatures w14:val="none"/>
              </w:rPr>
            </w:pPr>
            <w:r w:rsidRPr="0066147A">
              <w:rPr>
                <w:rFonts w:ascii="Times New Roman" w:eastAsia="宋体" w:hAnsi="Times New Roman" w:cs="Times New Roman"/>
                <w:kern w:val="0"/>
                <w:sz w:val="18"/>
                <w:szCs w:val="18"/>
                <w14:ligatures w14:val="none"/>
              </w:rPr>
              <w:t>146.267</w:t>
            </w:r>
            <w:r w:rsidRPr="0066147A">
              <w:rPr>
                <w:rFonts w:ascii="Times New Roman" w:eastAsia="宋体" w:hAnsi="Times New Roman" w:cs="Times New Roman"/>
                <w:kern w:val="0"/>
                <w:sz w:val="18"/>
                <w:szCs w:val="18"/>
                <w:vertAlign w:val="superscript"/>
                <w14:ligatures w14:val="none"/>
              </w:rPr>
              <w:t>***</w:t>
            </w:r>
          </w:p>
        </w:tc>
      </w:tr>
    </w:tbl>
    <w:p w14:paraId="037AFABF" w14:textId="77777777" w:rsidR="0066147A" w:rsidRPr="0066147A" w:rsidRDefault="0066147A" w:rsidP="0066147A">
      <w:pPr>
        <w:spacing w:afterLines="50" w:after="156" w:line="240" w:lineRule="auto"/>
        <w:jc w:val="both"/>
        <w:rPr>
          <w:rFonts w:ascii="Times New Roman" w:eastAsia="宋体" w:hAnsi="Times New Roman" w:cs="Times New Roman" w:hint="eastAsia"/>
          <w:sz w:val="24"/>
          <w14:ligatures w14:val="none"/>
        </w:rPr>
      </w:pPr>
      <w:r w:rsidRPr="0066147A">
        <w:rPr>
          <w:rFonts w:ascii="Times New Roman" w:eastAsia="宋体" w:hAnsi="Times New Roman" w:cs="Times New Roman"/>
          <w:kern w:val="0"/>
          <w:sz w:val="18"/>
          <w:szCs w:val="18"/>
          <w14:ligatures w14:val="none"/>
        </w:rPr>
        <w:t>注：</w:t>
      </w:r>
      <w:r w:rsidRPr="0066147A">
        <w:rPr>
          <w:rFonts w:ascii="Times New Roman" w:eastAsia="宋体" w:hAnsi="Times New Roman" w:cs="Times New Roman"/>
          <w:kern w:val="0"/>
          <w:sz w:val="18"/>
          <w:szCs w:val="18"/>
          <w:vertAlign w:val="superscript"/>
          <w14:ligatures w14:val="none"/>
        </w:rPr>
        <w:t xml:space="preserve"> </w:t>
      </w:r>
      <w:r w:rsidRPr="0066147A">
        <w:rPr>
          <w:rFonts w:ascii="Times New Roman" w:eastAsia="宋体" w:hAnsi="Times New Roman" w:cs="Times New Roman" w:hint="eastAsia"/>
          <w:kern w:val="0"/>
          <w:sz w:val="18"/>
          <w:szCs w:val="18"/>
          <w14:ligatures w14:val="none"/>
        </w:rPr>
        <w:t>“</w:t>
      </w:r>
      <w:r w:rsidRPr="0066147A">
        <w:rPr>
          <w:rFonts w:ascii="Times New Roman" w:eastAsia="宋体" w:hAnsi="Times New Roman" w:cs="Times New Roman"/>
          <w:kern w:val="0"/>
          <w:sz w:val="18"/>
          <w:szCs w:val="18"/>
          <w:vertAlign w:val="superscript"/>
          <w14:ligatures w14:val="none"/>
        </w:rPr>
        <w:t>***</w:t>
      </w:r>
      <w:r w:rsidRPr="0066147A">
        <w:rPr>
          <w:rFonts w:ascii="Times New Roman" w:eastAsia="宋体" w:hAnsi="Times New Roman" w:cs="Times New Roman" w:hint="eastAsia"/>
          <w:kern w:val="0"/>
          <w:sz w:val="18"/>
          <w:szCs w:val="18"/>
          <w14:ligatures w14:val="none"/>
        </w:rPr>
        <w:t>”</w:t>
      </w:r>
      <w:r w:rsidRPr="0066147A">
        <w:rPr>
          <w:rFonts w:ascii="Times New Roman" w:eastAsia="宋体" w:hAnsi="Times New Roman" w:cs="Times New Roman"/>
          <w:kern w:val="0"/>
          <w:sz w:val="18"/>
          <w:szCs w:val="18"/>
          <w14:ligatures w14:val="none"/>
        </w:rPr>
        <w:t>表示在</w:t>
      </w:r>
      <w:r w:rsidRPr="0066147A">
        <w:rPr>
          <w:rFonts w:ascii="Times New Roman" w:eastAsia="宋体" w:hAnsi="Times New Roman" w:cs="Times New Roman"/>
          <w:kern w:val="0"/>
          <w:sz w:val="18"/>
          <w:szCs w:val="18"/>
          <w14:ligatures w14:val="none"/>
        </w:rPr>
        <w:t>1%</w:t>
      </w:r>
      <w:r w:rsidRPr="0066147A">
        <w:rPr>
          <w:rFonts w:ascii="Times New Roman" w:eastAsia="宋体" w:hAnsi="Times New Roman" w:cs="Times New Roman"/>
          <w:kern w:val="0"/>
          <w:sz w:val="18"/>
          <w:szCs w:val="18"/>
          <w14:ligatures w14:val="none"/>
        </w:rPr>
        <w:t>水平上显著；</w:t>
      </w:r>
      <w:r w:rsidRPr="0066147A">
        <w:rPr>
          <w:rFonts w:ascii="Times New Roman" w:eastAsia="宋体" w:hAnsi="Times New Roman" w:cs="Times New Roman" w:hint="eastAsia"/>
          <w:kern w:val="0"/>
          <w:sz w:val="18"/>
          <w:szCs w:val="18"/>
          <w14:ligatures w14:val="none"/>
        </w:rPr>
        <w:t>“</w:t>
      </w:r>
      <w:r w:rsidRPr="0066147A">
        <w:rPr>
          <w:rFonts w:ascii="Times New Roman" w:eastAsia="宋体" w:hAnsi="Times New Roman" w:cs="Times New Roman"/>
          <w:kern w:val="0"/>
          <w:sz w:val="18"/>
          <w:szCs w:val="18"/>
          <w:vertAlign w:val="superscript"/>
          <w14:ligatures w14:val="none"/>
        </w:rPr>
        <w:t>**</w:t>
      </w:r>
      <w:r w:rsidRPr="0066147A">
        <w:rPr>
          <w:rFonts w:ascii="Times New Roman" w:eastAsia="宋体" w:hAnsi="Times New Roman" w:cs="Times New Roman" w:hint="eastAsia"/>
          <w:kern w:val="0"/>
          <w:sz w:val="18"/>
          <w:szCs w:val="18"/>
          <w14:ligatures w14:val="none"/>
        </w:rPr>
        <w:t>”</w:t>
      </w:r>
      <w:r w:rsidRPr="0066147A">
        <w:rPr>
          <w:rFonts w:ascii="Times New Roman" w:eastAsia="宋体" w:hAnsi="Times New Roman" w:cs="Times New Roman"/>
          <w:kern w:val="0"/>
          <w:sz w:val="18"/>
          <w:szCs w:val="18"/>
          <w14:ligatures w14:val="none"/>
        </w:rPr>
        <w:t>表示在</w:t>
      </w:r>
      <w:r w:rsidRPr="0066147A">
        <w:rPr>
          <w:rFonts w:ascii="Times New Roman" w:eastAsia="宋体" w:hAnsi="Times New Roman" w:cs="Times New Roman"/>
          <w:kern w:val="0"/>
          <w:sz w:val="18"/>
          <w:szCs w:val="18"/>
          <w14:ligatures w14:val="none"/>
        </w:rPr>
        <w:t>5%</w:t>
      </w:r>
      <w:r w:rsidRPr="0066147A">
        <w:rPr>
          <w:rFonts w:ascii="Times New Roman" w:eastAsia="宋体" w:hAnsi="Times New Roman" w:cs="Times New Roman"/>
          <w:kern w:val="0"/>
          <w:sz w:val="18"/>
          <w:szCs w:val="18"/>
          <w14:ligatures w14:val="none"/>
        </w:rPr>
        <w:t>水平上显著；</w:t>
      </w:r>
      <w:r w:rsidRPr="0066147A">
        <w:rPr>
          <w:rFonts w:ascii="Times New Roman" w:eastAsia="宋体" w:hAnsi="Times New Roman" w:cs="Times New Roman" w:hint="eastAsia"/>
          <w:kern w:val="0"/>
          <w:sz w:val="18"/>
          <w:szCs w:val="18"/>
          <w14:ligatures w14:val="none"/>
        </w:rPr>
        <w:t>“</w:t>
      </w:r>
      <w:r w:rsidRPr="0066147A">
        <w:rPr>
          <w:rFonts w:ascii="Times New Roman" w:eastAsia="宋体" w:hAnsi="Times New Roman" w:cs="Times New Roman"/>
          <w:kern w:val="0"/>
          <w:sz w:val="18"/>
          <w:szCs w:val="18"/>
          <w:vertAlign w:val="superscript"/>
          <w14:ligatures w14:val="none"/>
        </w:rPr>
        <w:t>*</w:t>
      </w:r>
      <w:r w:rsidRPr="0066147A">
        <w:rPr>
          <w:rFonts w:ascii="Times New Roman" w:eastAsia="宋体" w:hAnsi="Times New Roman" w:cs="Times New Roman" w:hint="eastAsia"/>
          <w:kern w:val="0"/>
          <w:sz w:val="18"/>
          <w:szCs w:val="18"/>
          <w14:ligatures w14:val="none"/>
        </w:rPr>
        <w:t>”</w:t>
      </w:r>
      <w:r w:rsidRPr="0066147A">
        <w:rPr>
          <w:rFonts w:ascii="Times New Roman" w:eastAsia="宋体" w:hAnsi="Times New Roman" w:cs="Times New Roman"/>
          <w:kern w:val="0"/>
          <w:sz w:val="18"/>
          <w:szCs w:val="18"/>
          <w14:ligatures w14:val="none"/>
        </w:rPr>
        <w:t>表示在</w:t>
      </w:r>
      <w:r w:rsidRPr="0066147A">
        <w:rPr>
          <w:rFonts w:ascii="Times New Roman" w:eastAsia="宋体" w:hAnsi="Times New Roman" w:cs="Times New Roman"/>
          <w:kern w:val="0"/>
          <w:sz w:val="18"/>
          <w:szCs w:val="18"/>
          <w14:ligatures w14:val="none"/>
        </w:rPr>
        <w:t>10%</w:t>
      </w:r>
      <w:r w:rsidRPr="0066147A">
        <w:rPr>
          <w:rFonts w:ascii="Times New Roman" w:eastAsia="宋体" w:hAnsi="Times New Roman" w:cs="Times New Roman"/>
          <w:kern w:val="0"/>
          <w:sz w:val="18"/>
          <w:szCs w:val="18"/>
          <w14:ligatures w14:val="none"/>
        </w:rPr>
        <w:t>水平上显著。</w:t>
      </w:r>
    </w:p>
    <w:p w14:paraId="1FF22C82" w14:textId="77777777" w:rsidR="0066147A" w:rsidRPr="0066147A" w:rsidRDefault="0066147A" w:rsidP="0066147A">
      <w:pPr>
        <w:spacing w:beforeLines="50" w:before="156" w:after="0" w:line="440" w:lineRule="exact"/>
        <w:ind w:firstLineChars="200" w:firstLine="480"/>
        <w:jc w:val="both"/>
        <w:rPr>
          <w:rFonts w:ascii="Times New Roman" w:eastAsia="宋体" w:hAnsi="Times New Roman" w:cs="Times New Roman"/>
          <w:sz w:val="24"/>
          <w14:ligatures w14:val="none"/>
        </w:rPr>
      </w:pPr>
      <w:r w:rsidRPr="0066147A">
        <w:rPr>
          <w:rFonts w:ascii="Times New Roman" w:eastAsia="宋体" w:hAnsi="Times New Roman" w:cs="Times New Roman"/>
          <w:sz w:val="24"/>
          <w14:ligatures w14:val="none"/>
        </w:rPr>
        <w:t>从回归结果系数值的</w:t>
      </w:r>
      <w:r w:rsidRPr="0066147A">
        <w:rPr>
          <w:rFonts w:ascii="Times New Roman" w:eastAsia="宋体" w:hAnsi="Times New Roman" w:cs="Times New Roman"/>
          <w:sz w:val="24"/>
          <w14:ligatures w14:val="none"/>
        </w:rPr>
        <w:t>t</w:t>
      </w:r>
      <w:r w:rsidRPr="0066147A">
        <w:rPr>
          <w:rFonts w:ascii="Times New Roman" w:eastAsia="宋体" w:hAnsi="Times New Roman" w:cs="Times New Roman"/>
          <w:sz w:val="24"/>
          <w14:ligatures w14:val="none"/>
        </w:rPr>
        <w:t>统计值来看，该模型对交易所债券市场流动性水平具有一定的解释力。其中债券交易规模和债券风险在</w:t>
      </w:r>
      <w:r w:rsidRPr="0066147A">
        <w:rPr>
          <w:rFonts w:ascii="Times New Roman" w:eastAsia="宋体" w:hAnsi="Times New Roman" w:cs="Times New Roman"/>
          <w:sz w:val="24"/>
          <w14:ligatures w14:val="none"/>
        </w:rPr>
        <w:t>1%</w:t>
      </w:r>
      <w:r w:rsidRPr="0066147A">
        <w:rPr>
          <w:rFonts w:ascii="Times New Roman" w:eastAsia="宋体" w:hAnsi="Times New Roman" w:cs="Times New Roman"/>
          <w:sz w:val="24"/>
          <w14:ligatures w14:val="none"/>
        </w:rPr>
        <w:t>的水平上显著，债券增信变量在</w:t>
      </w:r>
      <w:r w:rsidRPr="0066147A">
        <w:rPr>
          <w:rFonts w:ascii="Times New Roman" w:eastAsia="宋体" w:hAnsi="Times New Roman" w:cs="Times New Roman"/>
          <w:sz w:val="24"/>
          <w14:ligatures w14:val="none"/>
        </w:rPr>
        <w:t>5%</w:t>
      </w:r>
      <w:r w:rsidRPr="0066147A">
        <w:rPr>
          <w:rFonts w:ascii="Times New Roman" w:eastAsia="宋体" w:hAnsi="Times New Roman" w:cs="Times New Roman"/>
          <w:sz w:val="24"/>
          <w14:ligatures w14:val="none"/>
        </w:rPr>
        <w:t>的统计水平上显著。从债券增</w:t>
      </w:r>
      <w:proofErr w:type="gramStart"/>
      <w:r w:rsidRPr="0066147A">
        <w:rPr>
          <w:rFonts w:ascii="Times New Roman" w:eastAsia="宋体" w:hAnsi="Times New Roman" w:cs="Times New Roman"/>
          <w:sz w:val="24"/>
          <w14:ligatures w14:val="none"/>
        </w:rPr>
        <w:t>信因素</w:t>
      </w:r>
      <w:proofErr w:type="gramEnd"/>
      <w:r w:rsidRPr="0066147A">
        <w:rPr>
          <w:rFonts w:ascii="Times New Roman" w:eastAsia="宋体" w:hAnsi="Times New Roman" w:cs="Times New Roman"/>
          <w:sz w:val="24"/>
          <w14:ligatures w14:val="none"/>
        </w:rPr>
        <w:t>的回归系数上看，债券增信能够提高债券的流动性水平。</w:t>
      </w:r>
      <w:r w:rsidRPr="0066147A">
        <w:rPr>
          <w:rFonts w:ascii="Times New Roman" w:eastAsia="宋体" w:hAnsi="Times New Roman" w:cs="Times New Roman" w:hint="eastAsia"/>
          <w:sz w:val="24"/>
          <w14:ligatures w14:val="none"/>
        </w:rPr>
        <w:t>说明</w:t>
      </w:r>
      <w:r w:rsidRPr="0066147A">
        <w:rPr>
          <w:rFonts w:ascii="Times New Roman" w:eastAsia="宋体" w:hAnsi="Times New Roman" w:cs="Times New Roman"/>
          <w:sz w:val="24"/>
          <w14:ligatures w14:val="none"/>
        </w:rPr>
        <w:t>债券进行增信后，相应的债券级别高于或相当于</w:t>
      </w:r>
      <w:r w:rsidRPr="0066147A">
        <w:rPr>
          <w:rFonts w:ascii="Times New Roman" w:eastAsia="宋体" w:hAnsi="Times New Roman" w:cs="Times New Roman" w:hint="eastAsia"/>
          <w:sz w:val="24"/>
          <w14:ligatures w14:val="none"/>
        </w:rPr>
        <w:t>企业长期</w:t>
      </w:r>
      <w:r w:rsidRPr="0066147A">
        <w:rPr>
          <w:rFonts w:ascii="Times New Roman" w:eastAsia="宋体" w:hAnsi="Times New Roman" w:cs="Times New Roman"/>
          <w:sz w:val="24"/>
          <w14:ligatures w14:val="none"/>
        </w:rPr>
        <w:t>主体</w:t>
      </w:r>
      <w:r w:rsidRPr="0066147A">
        <w:rPr>
          <w:rFonts w:ascii="Times New Roman" w:eastAsia="宋体" w:hAnsi="Times New Roman" w:cs="Times New Roman" w:hint="eastAsia"/>
          <w:sz w:val="24"/>
          <w14:ligatures w14:val="none"/>
        </w:rPr>
        <w:t>信用</w:t>
      </w:r>
      <w:r w:rsidRPr="0066147A">
        <w:rPr>
          <w:rFonts w:ascii="Times New Roman" w:eastAsia="宋体" w:hAnsi="Times New Roman" w:cs="Times New Roman"/>
          <w:sz w:val="24"/>
          <w14:ligatures w14:val="none"/>
        </w:rPr>
        <w:t>级别，债券的偿债能力有了进一步的保障，使得债券的信用风险降低，投资者更愿意购买进行担保后的债券，从而提高了整个债券市场的流动性</w:t>
      </w:r>
      <w:r w:rsidRPr="0066147A">
        <w:rPr>
          <w:rFonts w:ascii="Times New Roman" w:eastAsia="宋体" w:hAnsi="Times New Roman" w:cs="Times New Roman"/>
          <w:sz w:val="24"/>
          <w14:ligatures w14:val="none"/>
        </w:rPr>
        <w:lastRenderedPageBreak/>
        <w:t>水平。</w:t>
      </w:r>
    </w:p>
    <w:p w14:paraId="2721ECB7" w14:textId="77777777" w:rsidR="0066147A" w:rsidRPr="0066147A" w:rsidRDefault="0066147A">
      <w:pPr>
        <w:rPr>
          <w:rFonts w:hint="eastAsia"/>
        </w:rPr>
      </w:pPr>
    </w:p>
    <w:sectPr w:rsidR="0066147A" w:rsidRPr="006614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E8D3" w14:textId="77777777" w:rsidR="00F00622" w:rsidRDefault="00F00622" w:rsidP="0066147A">
      <w:pPr>
        <w:spacing w:after="0" w:line="240" w:lineRule="auto"/>
        <w:rPr>
          <w:rFonts w:hint="eastAsia"/>
        </w:rPr>
      </w:pPr>
      <w:r>
        <w:separator/>
      </w:r>
    </w:p>
  </w:endnote>
  <w:endnote w:type="continuationSeparator" w:id="0">
    <w:p w14:paraId="3E2B1300" w14:textId="77777777" w:rsidR="00F00622" w:rsidRDefault="00F00622" w:rsidP="0066147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BE46" w14:textId="77777777" w:rsidR="00F00622" w:rsidRDefault="00F00622" w:rsidP="0066147A">
      <w:pPr>
        <w:spacing w:after="0" w:line="240" w:lineRule="auto"/>
        <w:rPr>
          <w:rFonts w:hint="eastAsia"/>
        </w:rPr>
      </w:pPr>
      <w:r>
        <w:separator/>
      </w:r>
    </w:p>
  </w:footnote>
  <w:footnote w:type="continuationSeparator" w:id="0">
    <w:p w14:paraId="68304BBF" w14:textId="77777777" w:rsidR="00F00622" w:rsidRDefault="00F00622" w:rsidP="0066147A">
      <w:pPr>
        <w:spacing w:after="0" w:line="240" w:lineRule="auto"/>
        <w:rPr>
          <w:rFonts w:hint="eastAsia"/>
        </w:rPr>
      </w:pPr>
      <w:r>
        <w:continuationSeparator/>
      </w:r>
    </w:p>
  </w:footnote>
  <w:footnote w:id="1">
    <w:p w14:paraId="28A236C4" w14:textId="77777777" w:rsidR="0066147A" w:rsidRPr="00FF4908" w:rsidRDefault="0066147A" w:rsidP="0066147A">
      <w:pPr>
        <w:pStyle w:val="af2"/>
        <w:rPr>
          <w:rFonts w:hint="eastAsia"/>
        </w:rPr>
      </w:pPr>
      <w:r>
        <w:rPr>
          <w:rStyle w:val="af4"/>
        </w:rPr>
        <w:footnoteRef/>
      </w:r>
      <w:r>
        <w:t xml:space="preserve"> </w:t>
      </w:r>
      <w:r>
        <w:rPr>
          <w:rFonts w:hint="eastAsia"/>
        </w:rPr>
        <w:t>见附录</w:t>
      </w:r>
      <w:r>
        <w:rPr>
          <w:rFonts w:hint="eastAsia"/>
        </w:rPr>
        <w:t>1</w:t>
      </w:r>
      <w:r>
        <w:rPr>
          <w:rFonts w:hint="eastAsia"/>
        </w:rPr>
        <w:t>中笔者对“保险公司债券投资信用级别限制对债券市场流动性的影响”的研究。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8F"/>
    <w:rsid w:val="001229D8"/>
    <w:rsid w:val="001B4656"/>
    <w:rsid w:val="001D053A"/>
    <w:rsid w:val="0025005C"/>
    <w:rsid w:val="0026744F"/>
    <w:rsid w:val="00341F2B"/>
    <w:rsid w:val="0066147A"/>
    <w:rsid w:val="0072271E"/>
    <w:rsid w:val="00857391"/>
    <w:rsid w:val="008D0AC4"/>
    <w:rsid w:val="00C93798"/>
    <w:rsid w:val="00DB1227"/>
    <w:rsid w:val="00F00622"/>
    <w:rsid w:val="00F03E8F"/>
    <w:rsid w:val="00F73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52F32C3A"/>
  <w15:chartTrackingRefBased/>
  <w15:docId w15:val="{782A10E1-FD97-4BCF-9B76-11C0FFF3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3E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F03E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3E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3E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3E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3E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3E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3E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3E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3E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3E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3E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3E8F"/>
    <w:rPr>
      <w:rFonts w:cstheme="majorBidi"/>
      <w:color w:val="2F5496" w:themeColor="accent1" w:themeShade="BF"/>
      <w:sz w:val="28"/>
      <w:szCs w:val="28"/>
    </w:rPr>
  </w:style>
  <w:style w:type="character" w:customStyle="1" w:styleId="50">
    <w:name w:val="标题 5 字符"/>
    <w:basedOn w:val="a0"/>
    <w:link w:val="5"/>
    <w:uiPriority w:val="9"/>
    <w:semiHidden/>
    <w:rsid w:val="00F03E8F"/>
    <w:rPr>
      <w:rFonts w:cstheme="majorBidi"/>
      <w:color w:val="2F5496" w:themeColor="accent1" w:themeShade="BF"/>
      <w:sz w:val="24"/>
    </w:rPr>
  </w:style>
  <w:style w:type="character" w:customStyle="1" w:styleId="60">
    <w:name w:val="标题 6 字符"/>
    <w:basedOn w:val="a0"/>
    <w:link w:val="6"/>
    <w:uiPriority w:val="9"/>
    <w:semiHidden/>
    <w:rsid w:val="00F03E8F"/>
    <w:rPr>
      <w:rFonts w:cstheme="majorBidi"/>
      <w:b/>
      <w:bCs/>
      <w:color w:val="2F5496" w:themeColor="accent1" w:themeShade="BF"/>
    </w:rPr>
  </w:style>
  <w:style w:type="character" w:customStyle="1" w:styleId="70">
    <w:name w:val="标题 7 字符"/>
    <w:basedOn w:val="a0"/>
    <w:link w:val="7"/>
    <w:uiPriority w:val="9"/>
    <w:semiHidden/>
    <w:rsid w:val="00F03E8F"/>
    <w:rPr>
      <w:rFonts w:cstheme="majorBidi"/>
      <w:b/>
      <w:bCs/>
      <w:color w:val="595959" w:themeColor="text1" w:themeTint="A6"/>
    </w:rPr>
  </w:style>
  <w:style w:type="character" w:customStyle="1" w:styleId="80">
    <w:name w:val="标题 8 字符"/>
    <w:basedOn w:val="a0"/>
    <w:link w:val="8"/>
    <w:uiPriority w:val="9"/>
    <w:semiHidden/>
    <w:rsid w:val="00F03E8F"/>
    <w:rPr>
      <w:rFonts w:cstheme="majorBidi"/>
      <w:color w:val="595959" w:themeColor="text1" w:themeTint="A6"/>
    </w:rPr>
  </w:style>
  <w:style w:type="character" w:customStyle="1" w:styleId="90">
    <w:name w:val="标题 9 字符"/>
    <w:basedOn w:val="a0"/>
    <w:link w:val="9"/>
    <w:uiPriority w:val="9"/>
    <w:semiHidden/>
    <w:rsid w:val="00F03E8F"/>
    <w:rPr>
      <w:rFonts w:eastAsiaTheme="majorEastAsia" w:cstheme="majorBidi"/>
      <w:color w:val="595959" w:themeColor="text1" w:themeTint="A6"/>
    </w:rPr>
  </w:style>
  <w:style w:type="paragraph" w:styleId="a3">
    <w:name w:val="Title"/>
    <w:basedOn w:val="a"/>
    <w:next w:val="a"/>
    <w:link w:val="a4"/>
    <w:uiPriority w:val="10"/>
    <w:qFormat/>
    <w:rsid w:val="00F03E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3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E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3E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E8F"/>
    <w:pPr>
      <w:spacing w:before="160"/>
      <w:jc w:val="center"/>
    </w:pPr>
    <w:rPr>
      <w:i/>
      <w:iCs/>
      <w:color w:val="404040" w:themeColor="text1" w:themeTint="BF"/>
    </w:rPr>
  </w:style>
  <w:style w:type="character" w:customStyle="1" w:styleId="a8">
    <w:name w:val="引用 字符"/>
    <w:basedOn w:val="a0"/>
    <w:link w:val="a7"/>
    <w:uiPriority w:val="29"/>
    <w:rsid w:val="00F03E8F"/>
    <w:rPr>
      <w:i/>
      <w:iCs/>
      <w:color w:val="404040" w:themeColor="text1" w:themeTint="BF"/>
    </w:rPr>
  </w:style>
  <w:style w:type="paragraph" w:styleId="a9">
    <w:name w:val="List Paragraph"/>
    <w:basedOn w:val="a"/>
    <w:uiPriority w:val="34"/>
    <w:qFormat/>
    <w:rsid w:val="00F03E8F"/>
    <w:pPr>
      <w:ind w:left="720"/>
      <w:contextualSpacing/>
    </w:pPr>
  </w:style>
  <w:style w:type="character" w:styleId="aa">
    <w:name w:val="Intense Emphasis"/>
    <w:basedOn w:val="a0"/>
    <w:uiPriority w:val="21"/>
    <w:qFormat/>
    <w:rsid w:val="00F03E8F"/>
    <w:rPr>
      <w:i/>
      <w:iCs/>
      <w:color w:val="2F5496" w:themeColor="accent1" w:themeShade="BF"/>
    </w:rPr>
  </w:style>
  <w:style w:type="paragraph" w:styleId="ab">
    <w:name w:val="Intense Quote"/>
    <w:basedOn w:val="a"/>
    <w:next w:val="a"/>
    <w:link w:val="ac"/>
    <w:uiPriority w:val="30"/>
    <w:qFormat/>
    <w:rsid w:val="00F03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3E8F"/>
    <w:rPr>
      <w:i/>
      <w:iCs/>
      <w:color w:val="2F5496" w:themeColor="accent1" w:themeShade="BF"/>
    </w:rPr>
  </w:style>
  <w:style w:type="character" w:styleId="ad">
    <w:name w:val="Intense Reference"/>
    <w:basedOn w:val="a0"/>
    <w:uiPriority w:val="32"/>
    <w:qFormat/>
    <w:rsid w:val="00F03E8F"/>
    <w:rPr>
      <w:b/>
      <w:bCs/>
      <w:smallCaps/>
      <w:color w:val="2F5496" w:themeColor="accent1" w:themeShade="BF"/>
      <w:spacing w:val="5"/>
    </w:rPr>
  </w:style>
  <w:style w:type="paragraph" w:styleId="ae">
    <w:name w:val="header"/>
    <w:basedOn w:val="a"/>
    <w:link w:val="af"/>
    <w:uiPriority w:val="99"/>
    <w:unhideWhenUsed/>
    <w:rsid w:val="0066147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6147A"/>
    <w:rPr>
      <w:sz w:val="18"/>
      <w:szCs w:val="18"/>
    </w:rPr>
  </w:style>
  <w:style w:type="paragraph" w:styleId="af0">
    <w:name w:val="footer"/>
    <w:basedOn w:val="a"/>
    <w:link w:val="af1"/>
    <w:uiPriority w:val="99"/>
    <w:unhideWhenUsed/>
    <w:rsid w:val="0066147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6147A"/>
    <w:rPr>
      <w:sz w:val="18"/>
      <w:szCs w:val="18"/>
    </w:rPr>
  </w:style>
  <w:style w:type="paragraph" w:styleId="af2">
    <w:name w:val="footnote text"/>
    <w:basedOn w:val="a"/>
    <w:link w:val="Char"/>
    <w:semiHidden/>
    <w:rsid w:val="0066147A"/>
    <w:pPr>
      <w:snapToGrid w:val="0"/>
      <w:spacing w:after="0" w:line="240" w:lineRule="auto"/>
    </w:pPr>
    <w:rPr>
      <w:rFonts w:ascii="Times New Roman" w:eastAsia="宋体" w:hAnsi="Times New Roman" w:cs="Times New Roman"/>
      <w:sz w:val="18"/>
      <w:szCs w:val="18"/>
      <w14:ligatures w14:val="none"/>
    </w:rPr>
  </w:style>
  <w:style w:type="character" w:customStyle="1" w:styleId="af3">
    <w:name w:val="脚注文本 字符"/>
    <w:basedOn w:val="a0"/>
    <w:uiPriority w:val="99"/>
    <w:semiHidden/>
    <w:rsid w:val="0066147A"/>
    <w:rPr>
      <w:sz w:val="18"/>
      <w:szCs w:val="18"/>
    </w:rPr>
  </w:style>
  <w:style w:type="character" w:customStyle="1" w:styleId="Char">
    <w:name w:val="脚注文本 Char"/>
    <w:link w:val="af2"/>
    <w:semiHidden/>
    <w:rsid w:val="0066147A"/>
    <w:rPr>
      <w:rFonts w:ascii="Times New Roman" w:eastAsia="宋体" w:hAnsi="Times New Roman" w:cs="Times New Roman"/>
      <w:sz w:val="18"/>
      <w:szCs w:val="18"/>
      <w14:ligatures w14:val="none"/>
    </w:rPr>
  </w:style>
  <w:style w:type="character" w:styleId="af4">
    <w:name w:val="footnote reference"/>
    <w:semiHidden/>
    <w:rsid w:val="006614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oleObject" Target="embeddings/oleObject15.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6</cp:revision>
  <dcterms:created xsi:type="dcterms:W3CDTF">2025-10-21T08:18:00Z</dcterms:created>
  <dcterms:modified xsi:type="dcterms:W3CDTF">2025-10-21T08:23:00Z</dcterms:modified>
</cp:coreProperties>
</file>