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927808" w14:textId="77777777" w:rsidR="002D2D76" w:rsidRDefault="002D2D76" w:rsidP="002D2D76">
      <w:pPr>
        <w:pStyle w:val="2"/>
        <w:adjustRightInd w:val="0"/>
        <w:spacing w:beforeLines="50" w:before="156" w:afterLines="50" w:after="156" w:line="440" w:lineRule="exact"/>
        <w:jc w:val="center"/>
        <w:rPr>
          <w:rFonts w:ascii="黑体" w:eastAsia="黑体" w:hAnsi="Times New Roman" w:cs="Times New Roman"/>
          <w:bCs/>
          <w:color w:val="auto"/>
          <w:sz w:val="44"/>
          <w:szCs w:val="44"/>
          <w14:ligatures w14:val="none"/>
        </w:rPr>
      </w:pPr>
      <w:r w:rsidRPr="002D2D76">
        <w:rPr>
          <w:rFonts w:ascii="黑体" w:eastAsia="黑体" w:hAnsi="Times New Roman" w:cs="Times New Roman"/>
          <w:bCs/>
          <w:color w:val="auto"/>
          <w:sz w:val="44"/>
          <w:szCs w:val="44"/>
          <w14:ligatures w14:val="none"/>
        </w:rPr>
        <w:t>信用缺失的交易费用经济学理论分析</w:t>
      </w:r>
    </w:p>
    <w:p w14:paraId="018AAD6A" w14:textId="77777777" w:rsidR="002D2D76" w:rsidRPr="002D2D76" w:rsidRDefault="002D2D76" w:rsidP="002D2D76">
      <w:pPr>
        <w:rPr>
          <w:rFonts w:hint="eastAsia"/>
        </w:rPr>
      </w:pPr>
    </w:p>
    <w:p w14:paraId="1E13B65B" w14:textId="5D699ACE" w:rsidR="002D2D76" w:rsidRPr="00800D22" w:rsidRDefault="002D2D76" w:rsidP="002D2D76">
      <w:pPr>
        <w:widowControl/>
        <w:spacing w:line="440" w:lineRule="exact"/>
        <w:outlineLvl w:val="3"/>
        <w:rPr>
          <w:rFonts w:ascii="黑体" w:eastAsia="黑体" w:hAnsi="宋体"/>
          <w:bCs/>
          <w:sz w:val="24"/>
        </w:rPr>
      </w:pPr>
      <w:r>
        <w:rPr>
          <w:rFonts w:ascii="黑体" w:eastAsia="黑体" w:hAnsi="宋体" w:hint="eastAsia"/>
          <w:bCs/>
          <w:sz w:val="24"/>
        </w:rPr>
        <w:t>一、</w:t>
      </w:r>
      <w:r w:rsidRPr="00800D22">
        <w:rPr>
          <w:rFonts w:ascii="黑体" w:eastAsia="黑体" w:hAnsi="宋体"/>
          <w:bCs/>
          <w:sz w:val="24"/>
        </w:rPr>
        <w:t>交易费用经济学理论综述</w:t>
      </w:r>
    </w:p>
    <w:p w14:paraId="754786AA" w14:textId="77777777" w:rsidR="002D2D76" w:rsidRPr="00800D22" w:rsidRDefault="002D2D76" w:rsidP="002D2D76">
      <w:pPr>
        <w:spacing w:line="440" w:lineRule="exact"/>
        <w:ind w:firstLineChars="200" w:firstLine="480"/>
        <w:rPr>
          <w:sz w:val="24"/>
        </w:rPr>
      </w:pPr>
      <w:r w:rsidRPr="00800D22">
        <w:rPr>
          <w:sz w:val="24"/>
        </w:rPr>
        <w:t>一般认为，交易费用理论起源于科斯</w:t>
      </w:r>
      <w:r w:rsidRPr="00800D22">
        <w:rPr>
          <w:sz w:val="24"/>
        </w:rPr>
        <w:t>1939</w:t>
      </w:r>
      <w:r w:rsidRPr="00800D22">
        <w:rPr>
          <w:sz w:val="24"/>
        </w:rPr>
        <w:t>年发表的《企业的性质》一文。在这篇经典论文中，科斯提出了</w:t>
      </w:r>
      <w:r w:rsidRPr="00800D22">
        <w:rPr>
          <w:rFonts w:hint="eastAsia"/>
          <w:sz w:val="24"/>
        </w:rPr>
        <w:t>“</w:t>
      </w:r>
      <w:r w:rsidRPr="00800D22">
        <w:rPr>
          <w:sz w:val="24"/>
        </w:rPr>
        <w:t>交易费用</w:t>
      </w:r>
      <w:r w:rsidRPr="00800D22">
        <w:rPr>
          <w:rFonts w:hint="eastAsia"/>
          <w:sz w:val="24"/>
        </w:rPr>
        <w:t>”</w:t>
      </w:r>
      <w:r w:rsidRPr="00800D22">
        <w:rPr>
          <w:sz w:val="24"/>
        </w:rPr>
        <w:t>的概念。他认为，交易活动是稀缺性的，可计量的，也是可以比较的。企业与市场是两种不同的、但又可以相互取代的交易体制，而交易费用是决定企业存在、企业与市场分界的唯一变量</w:t>
      </w:r>
      <w:r w:rsidRPr="00800D22">
        <w:rPr>
          <w:rFonts w:hint="eastAsia"/>
          <w:sz w:val="24"/>
        </w:rPr>
        <w:t>。</w:t>
      </w:r>
      <w:r w:rsidRPr="00800D22">
        <w:rPr>
          <w:sz w:val="24"/>
        </w:rPr>
        <w:t>企业通过内化市场交易而减少交易费用，企业的存在是为了节约市场的交易费用，即用费用较低的企业内部交易替代费用较高的市场交易，企业的规模处于企业内</w:t>
      </w:r>
      <w:r w:rsidRPr="00800D22">
        <w:rPr>
          <w:rFonts w:hint="eastAsia"/>
          <w:sz w:val="24"/>
        </w:rPr>
        <w:t>部</w:t>
      </w:r>
      <w:r w:rsidRPr="00800D22">
        <w:rPr>
          <w:sz w:val="24"/>
        </w:rPr>
        <w:t>交易的边际费用与市场交易的边际费用的均衡点。科斯在他的另一篇论文《社会成本问题》中进一步阐述了交易费用及其对制度形成的影响。</w:t>
      </w:r>
    </w:p>
    <w:p w14:paraId="54061E25" w14:textId="77777777" w:rsidR="002D2D76" w:rsidRPr="00800D22" w:rsidRDefault="002D2D76" w:rsidP="002D2D76">
      <w:pPr>
        <w:spacing w:line="440" w:lineRule="exact"/>
        <w:ind w:firstLineChars="200" w:firstLine="480"/>
        <w:rPr>
          <w:rFonts w:hint="eastAsia"/>
          <w:sz w:val="24"/>
        </w:rPr>
      </w:pPr>
      <w:r w:rsidRPr="00800D22">
        <w:rPr>
          <w:sz w:val="24"/>
        </w:rPr>
        <w:t>20</w:t>
      </w:r>
      <w:r w:rsidRPr="00800D22">
        <w:rPr>
          <w:sz w:val="24"/>
        </w:rPr>
        <w:t>世纪</w:t>
      </w:r>
      <w:r w:rsidRPr="00800D22">
        <w:rPr>
          <w:sz w:val="24"/>
        </w:rPr>
        <w:t>80-90</w:t>
      </w:r>
      <w:r w:rsidRPr="00800D22">
        <w:rPr>
          <w:sz w:val="24"/>
        </w:rPr>
        <w:t>年代，交易费用这一概念日益受到广泛关注，成为这一阶段最为活跃的经济理论</w:t>
      </w:r>
      <w:r w:rsidRPr="00800D22">
        <w:rPr>
          <w:rStyle w:val="af2"/>
          <w:sz w:val="24"/>
        </w:rPr>
        <w:footnoteReference w:id="1"/>
      </w:r>
      <w:r w:rsidRPr="00800D22">
        <w:rPr>
          <w:sz w:val="24"/>
        </w:rPr>
        <w:t>，其中成就和影响最大的是威廉姆森。威廉姆森的分析以</w:t>
      </w:r>
      <w:r w:rsidRPr="00800D22">
        <w:rPr>
          <w:rFonts w:hint="eastAsia"/>
          <w:sz w:val="24"/>
        </w:rPr>
        <w:t>“</w:t>
      </w:r>
      <w:proofErr w:type="gramStart"/>
      <w:r w:rsidRPr="00800D22">
        <w:rPr>
          <w:sz w:val="24"/>
        </w:rPr>
        <w:t>经济人</w:t>
      </w:r>
      <w:proofErr w:type="gramEnd"/>
      <w:r w:rsidRPr="00800D22">
        <w:rPr>
          <w:rFonts w:hint="eastAsia"/>
          <w:sz w:val="24"/>
        </w:rPr>
        <w:t>”</w:t>
      </w:r>
      <w:r w:rsidRPr="00800D22">
        <w:rPr>
          <w:sz w:val="24"/>
        </w:rPr>
        <w:t>假设为出发点。根据</w:t>
      </w:r>
      <w:r w:rsidRPr="00800D22">
        <w:rPr>
          <w:rFonts w:hint="eastAsia"/>
          <w:sz w:val="24"/>
        </w:rPr>
        <w:t>“</w:t>
      </w:r>
      <w:proofErr w:type="gramStart"/>
      <w:r w:rsidRPr="00800D22">
        <w:rPr>
          <w:sz w:val="24"/>
        </w:rPr>
        <w:t>经济人</w:t>
      </w:r>
      <w:proofErr w:type="gramEnd"/>
      <w:r w:rsidRPr="00800D22">
        <w:rPr>
          <w:rFonts w:hint="eastAsia"/>
          <w:sz w:val="24"/>
        </w:rPr>
        <w:t>”</w:t>
      </w:r>
      <w:r w:rsidRPr="00800D22">
        <w:rPr>
          <w:sz w:val="24"/>
        </w:rPr>
        <w:t>假设，一个</w:t>
      </w:r>
      <w:proofErr w:type="gramStart"/>
      <w:r w:rsidRPr="00800D22">
        <w:rPr>
          <w:sz w:val="24"/>
        </w:rPr>
        <w:t>经济人</w:t>
      </w:r>
      <w:proofErr w:type="gramEnd"/>
      <w:r w:rsidRPr="00800D22">
        <w:rPr>
          <w:sz w:val="24"/>
        </w:rPr>
        <w:t>总是能够在给定的条件和环境下做出充分合理的决定；但人的理性是有限的，因此在现实经济生活中，扮演主角的人不可能是</w:t>
      </w:r>
      <w:r w:rsidRPr="00800D22">
        <w:rPr>
          <w:rFonts w:hint="eastAsia"/>
          <w:sz w:val="24"/>
        </w:rPr>
        <w:t>“</w:t>
      </w:r>
      <w:proofErr w:type="gramStart"/>
      <w:r w:rsidRPr="00800D22">
        <w:rPr>
          <w:sz w:val="24"/>
        </w:rPr>
        <w:t>经济人</w:t>
      </w:r>
      <w:proofErr w:type="gramEnd"/>
      <w:r w:rsidRPr="00800D22">
        <w:rPr>
          <w:rFonts w:hint="eastAsia"/>
          <w:sz w:val="24"/>
        </w:rPr>
        <w:t>”</w:t>
      </w:r>
      <w:r w:rsidRPr="00800D22">
        <w:rPr>
          <w:sz w:val="24"/>
        </w:rPr>
        <w:t>，由于资源是稀缺的，他的理性受到信息传播效率和他接受信息能力等诸多因素限制，他获取信息所需要的资源和时间就显得十分稀缺和昂贵，因为不可能无止境地搜集信息，也不具备关于未来各种可能性及其后果的完备知识和预见，从而不可能想象出其决策所面临的全部备选方案，因此真正的人绝非假设的</w:t>
      </w:r>
      <w:r w:rsidRPr="00800D22">
        <w:rPr>
          <w:rFonts w:hint="eastAsia"/>
          <w:sz w:val="24"/>
        </w:rPr>
        <w:t>“</w:t>
      </w:r>
      <w:proofErr w:type="gramStart"/>
      <w:r w:rsidRPr="00800D22">
        <w:rPr>
          <w:sz w:val="24"/>
        </w:rPr>
        <w:t>经济人</w:t>
      </w:r>
      <w:proofErr w:type="gramEnd"/>
      <w:r w:rsidRPr="00800D22">
        <w:rPr>
          <w:rFonts w:hint="eastAsia"/>
          <w:sz w:val="24"/>
        </w:rPr>
        <w:t>”</w:t>
      </w:r>
      <w:r w:rsidRPr="00800D22">
        <w:rPr>
          <w:sz w:val="24"/>
        </w:rPr>
        <w:t>，而是有限理性的人。威廉姆森从有限理性人这一前提出发，提出了经济中的人总是尽最大能力保护和增加自己的利益这一假设，即经济中的人都是自私的，不但自私，而且只要能够利己，就不惜去损人，这被称为机会行为动机。从更一般意义上来说，机会主义是指不充分揭示有关信息，或者歪曲信息，或者是指那些精心策划的误导、歪曲、颠倒或其它种种混淆视听的行为倾向。只要周围的环境和条件允许，这些倾向就会转换为实际行动</w:t>
      </w:r>
      <w:r w:rsidRPr="00800D22">
        <w:rPr>
          <w:sz w:val="24"/>
        </w:rPr>
        <w:t>——</w:t>
      </w:r>
      <w:r w:rsidRPr="00800D22">
        <w:rPr>
          <w:sz w:val="24"/>
        </w:rPr>
        <w:t>投机。人的各种机会主义行为动机，直接影响了市场的效率。市场上交易的双方不但要保护自己的利益，还要随时提防对方机会主义的行为，每一方都不知道对方是否诚实，都不敢轻率地在对方提供的信息基础上做出决定。机会主义的存在使交易费用增加，而且一笔交易越复杂，交易费用就越高。如果一份契约的执行人是机会主义者，当市场条件受不确定性影响而发生变化从而对他不利时，他</w:t>
      </w:r>
      <w:r w:rsidRPr="00800D22">
        <w:rPr>
          <w:sz w:val="24"/>
        </w:rPr>
        <w:lastRenderedPageBreak/>
        <w:t>将有很大的动机以契约的前提改变为借口而终止执行契约，从而给对方造成损失。为防止这种情况的出现，交易双方不得不将契约写得十分复杂，尽最大努力将预料可能发生的所有情形以及双方在不同条件下应承担的责任都列示出来，以备不时之需。这种合约成本越高，随所定契约的复杂程度而变化，交易过程的情况越不确定，双方订立的契约就越复杂，合约成本就越高，从而交易费用也就越高。高额交易费用的存在使</w:t>
      </w:r>
      <w:r w:rsidRPr="00800D22">
        <w:rPr>
          <w:rFonts w:hint="eastAsia"/>
          <w:sz w:val="24"/>
        </w:rPr>
        <w:t>“</w:t>
      </w:r>
      <w:r w:rsidRPr="00800D22">
        <w:rPr>
          <w:sz w:val="24"/>
        </w:rPr>
        <w:t>市场的失败</w:t>
      </w:r>
      <w:r w:rsidRPr="00800D22">
        <w:rPr>
          <w:rFonts w:hint="eastAsia"/>
          <w:sz w:val="24"/>
        </w:rPr>
        <w:t>”</w:t>
      </w:r>
      <w:r w:rsidRPr="00800D22">
        <w:rPr>
          <w:sz w:val="24"/>
        </w:rPr>
        <w:t>难以避免：一旦交易很复杂，签订一份面面俱到的契约几乎不可能，换言之，一旦交易费用达到无穷大，这笔交易就不能完成。但市场上还有另一种力量可以保障市场机制的正常运行，这就是竞争机制。如果市场具有高度竞争性，有非常多的买者和卖者，则机会主义就很难产生，市场效率就会提高。因为市场的竞争性越强，交易一方对另一方的依赖性越小，机会主义者丢掉生意，经济利益使机会主义行为受到压抑。相反，如果市场被垄断主体所控制，则非垄断的另一方的市场交易费用就会非常高。与科斯相似，威廉姆森同样得出企业和市场的相互替代，关键在于降低交易费用。</w:t>
      </w:r>
    </w:p>
    <w:p w14:paraId="09BF4AFC" w14:textId="77777777" w:rsidR="002D2D76" w:rsidRPr="00800D22" w:rsidRDefault="002D2D76" w:rsidP="002D2D76">
      <w:pPr>
        <w:spacing w:line="440" w:lineRule="exact"/>
        <w:ind w:firstLineChars="200" w:firstLine="480"/>
        <w:rPr>
          <w:rFonts w:hint="eastAsia"/>
          <w:sz w:val="24"/>
        </w:rPr>
      </w:pPr>
      <w:r w:rsidRPr="00800D22">
        <w:rPr>
          <w:sz w:val="24"/>
        </w:rPr>
        <w:t>关于交易费用的定义经历了一个从含糊到逐步明确的认识过程。最初，科斯把交易费用定义为</w:t>
      </w:r>
      <w:r w:rsidRPr="00800D22">
        <w:rPr>
          <w:rFonts w:hint="eastAsia"/>
          <w:sz w:val="24"/>
        </w:rPr>
        <w:t>“</w:t>
      </w:r>
      <w:r w:rsidRPr="00800D22">
        <w:rPr>
          <w:sz w:val="24"/>
        </w:rPr>
        <w:t>运行价格机制所需要的成本</w:t>
      </w:r>
      <w:r w:rsidRPr="00800D22">
        <w:rPr>
          <w:rFonts w:hint="eastAsia"/>
          <w:sz w:val="24"/>
        </w:rPr>
        <w:t>”</w:t>
      </w:r>
      <w:r w:rsidRPr="00800D22">
        <w:rPr>
          <w:sz w:val="24"/>
        </w:rPr>
        <w:t>。阿罗则将其概括为</w:t>
      </w:r>
      <w:r w:rsidRPr="00800D22">
        <w:rPr>
          <w:rFonts w:hint="eastAsia"/>
          <w:sz w:val="24"/>
        </w:rPr>
        <w:t>“</w:t>
      </w:r>
      <w:r w:rsidRPr="00800D22">
        <w:rPr>
          <w:sz w:val="24"/>
        </w:rPr>
        <w:t>经济制度的运行费用</w:t>
      </w:r>
      <w:r w:rsidRPr="00800D22">
        <w:rPr>
          <w:rFonts w:hint="eastAsia"/>
          <w:sz w:val="24"/>
        </w:rPr>
        <w:t>”</w:t>
      </w:r>
      <w:r w:rsidRPr="00800D22">
        <w:rPr>
          <w:sz w:val="24"/>
        </w:rPr>
        <w:t>。马修斯认为</w:t>
      </w:r>
      <w:r w:rsidRPr="00800D22">
        <w:rPr>
          <w:rFonts w:hint="eastAsia"/>
          <w:sz w:val="24"/>
        </w:rPr>
        <w:t>“</w:t>
      </w:r>
      <w:r w:rsidRPr="00800D22">
        <w:rPr>
          <w:sz w:val="24"/>
        </w:rPr>
        <w:t>交易费用包括事前准备合同和事后监督及强制合同执行的费用，与生产费用不同，它是一个履行一个合同的费用</w:t>
      </w:r>
      <w:r w:rsidRPr="00800D22">
        <w:rPr>
          <w:rFonts w:hint="eastAsia"/>
          <w:sz w:val="24"/>
        </w:rPr>
        <w:t>”</w:t>
      </w:r>
      <w:r w:rsidRPr="00800D22">
        <w:rPr>
          <w:sz w:val="24"/>
        </w:rPr>
        <w:t>。也有人把制度确立和执行成本包括组织、维持和实施一种制度安排各项规则的所有费用，广义地定义为交易费用。最后</w:t>
      </w:r>
      <w:r w:rsidRPr="00800D22">
        <w:rPr>
          <w:rFonts w:hint="eastAsia"/>
          <w:sz w:val="24"/>
        </w:rPr>
        <w:t>“</w:t>
      </w:r>
      <w:r w:rsidRPr="00800D22">
        <w:rPr>
          <w:sz w:val="24"/>
        </w:rPr>
        <w:t>交易费用</w:t>
      </w:r>
      <w:r w:rsidRPr="00800D22">
        <w:rPr>
          <w:rFonts w:hint="eastAsia"/>
          <w:sz w:val="24"/>
        </w:rPr>
        <w:t>”</w:t>
      </w:r>
      <w:r w:rsidRPr="00800D22">
        <w:rPr>
          <w:sz w:val="24"/>
        </w:rPr>
        <w:t>概念被扩展到包括建立交易关系、搜寻信息、进行讨价还价谈判、订立、执行契约条款所花费的直接成本以及监督违约行为并对之制裁、维护交易秩序和不履行契约所带来的产出损失所造成的间接费用成本。尽管如此，有关交易费用概念的解释仍然比较含糊。对此，巴泽尔提出交易费用和外</w:t>
      </w:r>
      <w:proofErr w:type="gramStart"/>
      <w:r w:rsidRPr="00800D22">
        <w:rPr>
          <w:sz w:val="24"/>
        </w:rPr>
        <w:t>生交易</w:t>
      </w:r>
      <w:proofErr w:type="gramEnd"/>
      <w:r w:rsidRPr="00800D22">
        <w:rPr>
          <w:sz w:val="24"/>
        </w:rPr>
        <w:t>费用，杨小凯认为机会主义行为使交易失灵造成的损失为内</w:t>
      </w:r>
      <w:proofErr w:type="gramStart"/>
      <w:r w:rsidRPr="00800D22">
        <w:rPr>
          <w:sz w:val="24"/>
        </w:rPr>
        <w:t>生交易</w:t>
      </w:r>
      <w:proofErr w:type="gramEnd"/>
      <w:r w:rsidRPr="00800D22">
        <w:rPr>
          <w:sz w:val="24"/>
        </w:rPr>
        <w:t>费用，议定、执行合同及保护产权的费用为外</w:t>
      </w:r>
      <w:proofErr w:type="gramStart"/>
      <w:r w:rsidRPr="00800D22">
        <w:rPr>
          <w:sz w:val="24"/>
        </w:rPr>
        <w:t>生交易</w:t>
      </w:r>
      <w:proofErr w:type="gramEnd"/>
      <w:r w:rsidRPr="00800D22">
        <w:rPr>
          <w:sz w:val="24"/>
        </w:rPr>
        <w:t>费用</w:t>
      </w:r>
      <w:r w:rsidRPr="00800D22">
        <w:rPr>
          <w:rFonts w:hint="eastAsia"/>
          <w:sz w:val="24"/>
        </w:rPr>
        <w:t>，</w:t>
      </w:r>
      <w:r w:rsidRPr="00800D22">
        <w:rPr>
          <w:sz w:val="24"/>
        </w:rPr>
        <w:t>并指出两种交易费用的减少具有不可兼顾的两难冲突。</w:t>
      </w:r>
    </w:p>
    <w:p w14:paraId="0AAC5B59" w14:textId="77777777" w:rsidR="002D2D76" w:rsidRPr="00800D22" w:rsidRDefault="002D2D76" w:rsidP="002D2D76">
      <w:pPr>
        <w:spacing w:line="440" w:lineRule="exact"/>
        <w:ind w:firstLineChars="200" w:firstLine="480"/>
        <w:rPr>
          <w:rFonts w:hint="eastAsia"/>
          <w:sz w:val="24"/>
        </w:rPr>
      </w:pPr>
    </w:p>
    <w:p w14:paraId="113928D8" w14:textId="5358CD6C" w:rsidR="002D2D76" w:rsidRPr="00800D22" w:rsidRDefault="002D2D76" w:rsidP="002D2D76">
      <w:pPr>
        <w:widowControl/>
        <w:spacing w:line="440" w:lineRule="exact"/>
        <w:outlineLvl w:val="3"/>
        <w:rPr>
          <w:rFonts w:ascii="黑体" w:eastAsia="黑体" w:hAnsi="宋体"/>
          <w:bCs/>
          <w:sz w:val="24"/>
        </w:rPr>
      </w:pPr>
      <w:r>
        <w:rPr>
          <w:rFonts w:ascii="黑体" w:eastAsia="黑体" w:hAnsi="宋体" w:hint="eastAsia"/>
          <w:bCs/>
          <w:sz w:val="24"/>
        </w:rPr>
        <w:t>二、</w:t>
      </w:r>
      <w:r w:rsidRPr="00800D22">
        <w:rPr>
          <w:rFonts w:ascii="黑体" w:eastAsia="黑体" w:hAnsi="宋体"/>
          <w:bCs/>
          <w:sz w:val="24"/>
        </w:rPr>
        <w:t>从交易费用理论的角度分析信用缺失</w:t>
      </w:r>
    </w:p>
    <w:p w14:paraId="58E0B332" w14:textId="77777777" w:rsidR="002D2D76" w:rsidRPr="00800D22" w:rsidRDefault="002D2D76" w:rsidP="002D2D76">
      <w:pPr>
        <w:spacing w:line="440" w:lineRule="exact"/>
        <w:ind w:firstLineChars="200" w:firstLine="480"/>
        <w:rPr>
          <w:sz w:val="24"/>
        </w:rPr>
      </w:pPr>
      <w:r w:rsidRPr="00800D22">
        <w:rPr>
          <w:sz w:val="24"/>
        </w:rPr>
        <w:t>从交易费用理论已经知道，市场交易必然存在一定的费用，即运用市场机制的费用，如搜索、谈判、签约、执行</w:t>
      </w:r>
      <w:r w:rsidRPr="00800D22">
        <w:rPr>
          <w:rFonts w:hint="eastAsia"/>
          <w:sz w:val="24"/>
        </w:rPr>
        <w:t>和</w:t>
      </w:r>
      <w:r w:rsidRPr="00800D22">
        <w:rPr>
          <w:sz w:val="24"/>
        </w:rPr>
        <w:t>监督等。市场机制作为一种交易管理机制，在下列四种基本条件相互作用下将会失灵</w:t>
      </w:r>
      <w:r w:rsidRPr="00800D22">
        <w:rPr>
          <w:rStyle w:val="af2"/>
          <w:sz w:val="24"/>
        </w:rPr>
        <w:footnoteReference w:id="2"/>
      </w:r>
      <w:r w:rsidRPr="00800D22">
        <w:rPr>
          <w:sz w:val="24"/>
        </w:rPr>
        <w:t>：理性有限性</w:t>
      </w:r>
      <w:r w:rsidRPr="00800D22">
        <w:rPr>
          <w:rFonts w:hint="eastAsia"/>
          <w:sz w:val="24"/>
        </w:rPr>
        <w:t>、</w:t>
      </w:r>
      <w:r w:rsidRPr="00800D22">
        <w:rPr>
          <w:sz w:val="24"/>
        </w:rPr>
        <w:t>机会主义行为</w:t>
      </w:r>
      <w:r w:rsidRPr="00800D22">
        <w:rPr>
          <w:rFonts w:hint="eastAsia"/>
          <w:sz w:val="24"/>
        </w:rPr>
        <w:t>、</w:t>
      </w:r>
      <w:r w:rsidRPr="00800D22">
        <w:rPr>
          <w:sz w:val="24"/>
        </w:rPr>
        <w:t>未来不</w:t>
      </w:r>
      <w:r w:rsidRPr="00800D22">
        <w:rPr>
          <w:sz w:val="24"/>
        </w:rPr>
        <w:lastRenderedPageBreak/>
        <w:t>确定性</w:t>
      </w:r>
      <w:r w:rsidRPr="00800D22">
        <w:rPr>
          <w:rFonts w:hint="eastAsia"/>
          <w:sz w:val="24"/>
        </w:rPr>
        <w:t>以及</w:t>
      </w:r>
      <w:r w:rsidRPr="00800D22">
        <w:rPr>
          <w:sz w:val="24"/>
        </w:rPr>
        <w:t>交易双方数量上不对等。事实上，这四个条件在市场经济条件下是普遍存在的。任何微观市场主体都是理性有限的，都具有使自己利益最大化，并为此不惜牺牲他人利益的机会主义行为倾向，未来总是不确定的，而市场上供求双方在数量上也往往是不对称的。在这样的条件下，如果缺乏有限的制度约束，作为有限理性的</w:t>
      </w:r>
      <w:proofErr w:type="gramStart"/>
      <w:r w:rsidRPr="00800D22">
        <w:rPr>
          <w:sz w:val="24"/>
        </w:rPr>
        <w:t>经济人</w:t>
      </w:r>
      <w:proofErr w:type="gramEnd"/>
      <w:r w:rsidRPr="00800D22">
        <w:rPr>
          <w:sz w:val="24"/>
        </w:rPr>
        <w:t>的市场主体就会产生强烈的机会主义动机，丧失信用甚至伦理道德，损害他</w:t>
      </w:r>
      <w:r w:rsidRPr="00800D22">
        <w:rPr>
          <w:rFonts w:hint="eastAsia"/>
          <w:sz w:val="24"/>
        </w:rPr>
        <w:t>人</w:t>
      </w:r>
      <w:r w:rsidRPr="00800D22">
        <w:rPr>
          <w:sz w:val="24"/>
        </w:rPr>
        <w:t>利益，从而使市场秩序陷入混乱状态。</w:t>
      </w:r>
    </w:p>
    <w:p w14:paraId="3F475F01" w14:textId="77777777" w:rsidR="002D2D76" w:rsidRPr="00800D22" w:rsidRDefault="002D2D76" w:rsidP="002D2D76">
      <w:pPr>
        <w:spacing w:line="440" w:lineRule="exact"/>
        <w:ind w:firstLineChars="200" w:firstLine="480"/>
        <w:rPr>
          <w:sz w:val="24"/>
        </w:rPr>
      </w:pPr>
      <w:r w:rsidRPr="00800D22">
        <w:rPr>
          <w:sz w:val="24"/>
        </w:rPr>
        <w:t>在不确定性和不完全市场竞争条件下，</w:t>
      </w:r>
      <w:proofErr w:type="gramStart"/>
      <w:r w:rsidRPr="00800D22">
        <w:rPr>
          <w:sz w:val="24"/>
        </w:rPr>
        <w:t>经济人</w:t>
      </w:r>
      <w:proofErr w:type="gramEnd"/>
      <w:r w:rsidRPr="00800D22">
        <w:rPr>
          <w:sz w:val="24"/>
        </w:rPr>
        <w:t>——</w:t>
      </w:r>
      <w:r w:rsidRPr="00800D22">
        <w:rPr>
          <w:sz w:val="24"/>
        </w:rPr>
        <w:t>交易主体总要发生交易费用，并选择以各项费用最低的方式进行交易。信用信息高度不对称为失信行为提供了条件，而成本与收益的不对称又为失信行为提供了负面的</w:t>
      </w:r>
      <w:r w:rsidRPr="00800D22">
        <w:rPr>
          <w:rFonts w:hint="eastAsia"/>
          <w:sz w:val="24"/>
        </w:rPr>
        <w:t>“</w:t>
      </w:r>
      <w:r w:rsidRPr="00800D22">
        <w:rPr>
          <w:sz w:val="24"/>
        </w:rPr>
        <w:t>激励</w:t>
      </w:r>
      <w:r w:rsidRPr="00800D22">
        <w:rPr>
          <w:rFonts w:hint="eastAsia"/>
          <w:sz w:val="24"/>
        </w:rPr>
        <w:t>”</w:t>
      </w:r>
      <w:r w:rsidRPr="00800D22">
        <w:rPr>
          <w:sz w:val="24"/>
        </w:rPr>
        <w:t>。从历史的角度来看，我国特殊的社会形态的变迁，造成了失信成本的非正式制度和正式制度约束机制的缺陷。就非正式制度约束而言，我国从半封建半殖民地社会直接跨入社会主义，与商品经济、市场经济相适应的契约关系、信用关系和信用意识的形成发展缺乏适宜的土壤，而未能充分发育。在高度集中的计划经济体制时期，经济主体的往来主要由政府指令性计划或行政手段调节，信用受到冷落，因而不可能建立起信用机制。在向市场经济转轨过程中，人们在发财致富思想的驱使下，过分追求物质享受而忽略了精神文化的修炼，导致信用意识低下，形成了挥之不去的</w:t>
      </w:r>
      <w:r w:rsidRPr="00800D22">
        <w:rPr>
          <w:rFonts w:hint="eastAsia"/>
          <w:sz w:val="24"/>
        </w:rPr>
        <w:t>“</w:t>
      </w:r>
      <w:r w:rsidRPr="00800D22">
        <w:rPr>
          <w:sz w:val="24"/>
        </w:rPr>
        <w:t>信用道德困境</w:t>
      </w:r>
      <w:r w:rsidRPr="00800D22">
        <w:rPr>
          <w:rFonts w:hint="eastAsia"/>
          <w:sz w:val="24"/>
        </w:rPr>
        <w:t>”</w:t>
      </w:r>
      <w:r w:rsidRPr="00800D22">
        <w:rPr>
          <w:sz w:val="24"/>
        </w:rPr>
        <w:t>。从正式制度约束体系，我国信用立法不健全，对失信行为缺乏明确的规范和约束体系，对契约关系</w:t>
      </w:r>
      <w:r w:rsidRPr="00800D22">
        <w:rPr>
          <w:rFonts w:hint="eastAsia"/>
          <w:sz w:val="24"/>
        </w:rPr>
        <w:t>和</w:t>
      </w:r>
      <w:r w:rsidRPr="00800D22">
        <w:rPr>
          <w:sz w:val="24"/>
        </w:rPr>
        <w:t>债权人的保护不够。另一方面，执法力度不够，执法</w:t>
      </w:r>
      <w:r w:rsidRPr="00800D22">
        <w:rPr>
          <w:rFonts w:hint="eastAsia"/>
          <w:sz w:val="24"/>
        </w:rPr>
        <w:t>水平</w:t>
      </w:r>
      <w:r w:rsidRPr="00800D22">
        <w:rPr>
          <w:sz w:val="24"/>
        </w:rPr>
        <w:t>不高，地方保护主义严重，这样，受害者难以追究损害方责任，</w:t>
      </w:r>
      <w:r w:rsidRPr="00800D22">
        <w:rPr>
          <w:rFonts w:hint="eastAsia"/>
          <w:sz w:val="24"/>
        </w:rPr>
        <w:t>导致</w:t>
      </w:r>
      <w:r w:rsidRPr="00800D22">
        <w:rPr>
          <w:sz w:val="24"/>
        </w:rPr>
        <w:t>破坏信用的一方在经济上、法律上得不到应有的追偿和处罚。因此，非正式制度和正式制度约束的缺位，使得外</w:t>
      </w:r>
      <w:proofErr w:type="gramStart"/>
      <w:r w:rsidRPr="00800D22">
        <w:rPr>
          <w:sz w:val="24"/>
        </w:rPr>
        <w:t>生交易</w:t>
      </w:r>
      <w:proofErr w:type="gramEnd"/>
      <w:r w:rsidRPr="00800D22">
        <w:rPr>
          <w:sz w:val="24"/>
        </w:rPr>
        <w:t>成本和内</w:t>
      </w:r>
      <w:proofErr w:type="gramStart"/>
      <w:r w:rsidRPr="00800D22">
        <w:rPr>
          <w:sz w:val="24"/>
        </w:rPr>
        <w:t>生交易</w:t>
      </w:r>
      <w:proofErr w:type="gramEnd"/>
      <w:r w:rsidRPr="00800D22">
        <w:rPr>
          <w:sz w:val="24"/>
        </w:rPr>
        <w:t>成本都很高，从而导致失信的收益与成本极端不对称，失信行为的收益很高，失信者付出的成本很小，甚至为零。在这样的制度环境下，通过以下条件的相互影响加深社会信用缺失的程度：</w:t>
      </w:r>
    </w:p>
    <w:p w14:paraId="30147B09" w14:textId="77777777" w:rsidR="002D2D76" w:rsidRPr="00800D22" w:rsidRDefault="002D2D76" w:rsidP="002D2D76">
      <w:pPr>
        <w:spacing w:line="440" w:lineRule="exact"/>
        <w:ind w:firstLineChars="200" w:firstLine="480"/>
        <w:rPr>
          <w:sz w:val="24"/>
        </w:rPr>
      </w:pPr>
      <w:r w:rsidRPr="00800D22">
        <w:rPr>
          <w:rFonts w:hint="eastAsia"/>
          <w:sz w:val="24"/>
        </w:rPr>
        <w:t>（</w:t>
      </w:r>
      <w:r w:rsidRPr="00800D22">
        <w:rPr>
          <w:sz w:val="24"/>
        </w:rPr>
        <w:t>1</w:t>
      </w:r>
      <w:r w:rsidRPr="00800D22">
        <w:rPr>
          <w:rFonts w:hint="eastAsia"/>
          <w:sz w:val="24"/>
        </w:rPr>
        <w:t>）</w:t>
      </w:r>
      <w:r w:rsidRPr="00800D22">
        <w:rPr>
          <w:sz w:val="24"/>
        </w:rPr>
        <w:t>未来的不确定性显著增加，会加剧有限理性经济主体的机会主义行为。一心追求眼前利益、信誉不佳的经济主体的机会主义动机变本加厉，而某些本来具有长远目光的经济主体在失信者的不良示范下滋生机会主义倾向，加入失信者队伍的行列，失信者队伍的扩大进一步增加了市场交易过程的不确定性，追求一次性交易成为人们的最优选择，其结果使得社会信用整体水平更加恶化。</w:t>
      </w:r>
    </w:p>
    <w:p w14:paraId="1CC0E1A9" w14:textId="77777777" w:rsidR="002D2D76" w:rsidRPr="00800D22" w:rsidRDefault="002D2D76" w:rsidP="002D2D76">
      <w:pPr>
        <w:spacing w:line="440" w:lineRule="exact"/>
        <w:ind w:firstLineChars="200" w:firstLine="480"/>
        <w:rPr>
          <w:sz w:val="24"/>
        </w:rPr>
      </w:pPr>
      <w:r w:rsidRPr="00800D22">
        <w:rPr>
          <w:sz w:val="24"/>
        </w:rPr>
        <w:t>（</w:t>
      </w:r>
      <w:r w:rsidRPr="00800D22">
        <w:rPr>
          <w:sz w:val="24"/>
        </w:rPr>
        <w:t>2</w:t>
      </w:r>
      <w:r w:rsidRPr="00800D22">
        <w:rPr>
          <w:sz w:val="24"/>
        </w:rPr>
        <w:t>）交易双方数量上的不对称更为突出，加之信用监管机制的弱化，使得在经济交易中数量占优方的违约利益的损害行为难以控制。比如在借贷关系中，</w:t>
      </w:r>
      <w:r w:rsidRPr="00800D22">
        <w:rPr>
          <w:sz w:val="24"/>
        </w:rPr>
        <w:lastRenderedPageBreak/>
        <w:t>债权人的交易费用包括了评估和保障承诺的各种费用，只有在扣除债务人违约损失之后，总体收益高于社会资金基准收益时，债权人才会考虑发放贷款；对于债务人而言，在获得贷款后，如果预计逃债获得的收益大于因此付出的成本时，必然会产生强烈的逃债欲望，此时失信行为就不可避免。</w:t>
      </w:r>
    </w:p>
    <w:p w14:paraId="2E9DDE9F" w14:textId="77777777" w:rsidR="002D2D76" w:rsidRPr="00800D22" w:rsidRDefault="002D2D76" w:rsidP="002D2D76">
      <w:pPr>
        <w:spacing w:line="440" w:lineRule="exact"/>
        <w:ind w:firstLineChars="200" w:firstLine="480"/>
        <w:rPr>
          <w:rFonts w:hint="eastAsia"/>
          <w:sz w:val="24"/>
        </w:rPr>
      </w:pPr>
      <w:r w:rsidRPr="00800D22">
        <w:rPr>
          <w:sz w:val="24"/>
        </w:rPr>
        <w:t>按照交易成本理论，经济主体是否守信主要取决于违约的成本与收益以及守信收益与</w:t>
      </w:r>
      <w:r w:rsidRPr="00800D22">
        <w:rPr>
          <w:rFonts w:hint="eastAsia"/>
          <w:sz w:val="24"/>
        </w:rPr>
        <w:t>成本</w:t>
      </w:r>
      <w:r w:rsidRPr="00800D22">
        <w:rPr>
          <w:sz w:val="24"/>
        </w:rPr>
        <w:t>的比较。前面已经述及，任何人的经济行为都是在一定的约束条件或制度环境下的一种理性行为。这种理性行为可能有三种，一是既有利于个人也有利于社会；二是有利于个人，但不利于别人或社会（如个人不讲信用）；三是既不利于个人也不利于社会。经济主体会做出怎样的选择很大程度上取决于制度环境。人的高素质是被一定的制度环境</w:t>
      </w:r>
      <w:r w:rsidRPr="00800D22">
        <w:rPr>
          <w:rFonts w:hint="eastAsia"/>
          <w:sz w:val="24"/>
        </w:rPr>
        <w:t>“</w:t>
      </w:r>
      <w:r w:rsidRPr="00800D22">
        <w:rPr>
          <w:sz w:val="24"/>
        </w:rPr>
        <w:t>逼</w:t>
      </w:r>
      <w:r w:rsidRPr="00800D22">
        <w:rPr>
          <w:rFonts w:hint="eastAsia"/>
          <w:sz w:val="24"/>
        </w:rPr>
        <w:t>”</w:t>
      </w:r>
      <w:r w:rsidRPr="00800D22">
        <w:rPr>
          <w:sz w:val="24"/>
        </w:rPr>
        <w:t>出来的，而不是天生的。如果在一个不讲信用、违约很容易逍遥法外的社会，就不会有太多的人去守信用。我国经济活动中对经济主体的约束，尤其是对失信行为惩戒制度的缺乏，使得失信收益既明显高于失信成本，又大大高于守信收益，这显然助长了经济主体的失信行为。</w:t>
      </w:r>
    </w:p>
    <w:p w14:paraId="6BC16CA9" w14:textId="77777777" w:rsidR="008D0AC4" w:rsidRPr="002D2D76" w:rsidRDefault="008D0AC4">
      <w:pPr>
        <w:rPr>
          <w:rFonts w:hint="eastAsia"/>
        </w:rPr>
      </w:pPr>
    </w:p>
    <w:sectPr w:rsidR="008D0AC4" w:rsidRPr="002D2D7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445F63" w14:textId="77777777" w:rsidR="008528E3" w:rsidRDefault="008528E3" w:rsidP="002D2D76">
      <w:pPr>
        <w:rPr>
          <w:rFonts w:hint="eastAsia"/>
        </w:rPr>
      </w:pPr>
      <w:r>
        <w:separator/>
      </w:r>
    </w:p>
  </w:endnote>
  <w:endnote w:type="continuationSeparator" w:id="0">
    <w:p w14:paraId="3D6886AA" w14:textId="77777777" w:rsidR="008528E3" w:rsidRDefault="008528E3" w:rsidP="002D2D76">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D86AD9" w14:textId="77777777" w:rsidR="008528E3" w:rsidRDefault="008528E3" w:rsidP="002D2D76">
      <w:pPr>
        <w:rPr>
          <w:rFonts w:hint="eastAsia"/>
        </w:rPr>
      </w:pPr>
      <w:r>
        <w:separator/>
      </w:r>
    </w:p>
  </w:footnote>
  <w:footnote w:type="continuationSeparator" w:id="0">
    <w:p w14:paraId="48ABCDAE" w14:textId="77777777" w:rsidR="008528E3" w:rsidRDefault="008528E3" w:rsidP="002D2D76">
      <w:pPr>
        <w:rPr>
          <w:rFonts w:hint="eastAsia"/>
        </w:rPr>
      </w:pPr>
      <w:r>
        <w:continuationSeparator/>
      </w:r>
    </w:p>
  </w:footnote>
  <w:footnote w:id="1">
    <w:p w14:paraId="79724583" w14:textId="77777777" w:rsidR="002D2D76" w:rsidRPr="00AE44DA" w:rsidRDefault="002D2D76" w:rsidP="002D2D76">
      <w:pPr>
        <w:pStyle w:val="11"/>
        <w:rPr>
          <w:rFonts w:ascii="Times New Roman" w:eastAsia="新宋体" w:hAnsi="Times New Roman"/>
          <w:sz w:val="18"/>
        </w:rPr>
      </w:pPr>
      <w:r w:rsidRPr="00AE44DA">
        <w:rPr>
          <w:rFonts w:ascii="Times New Roman" w:eastAsia="新宋体" w:hAnsi="Times New Roman"/>
          <w:sz w:val="18"/>
        </w:rPr>
        <w:footnoteRef/>
      </w:r>
      <w:r>
        <w:rPr>
          <w:rFonts w:ascii="Times New Roman" w:eastAsia="新宋体" w:hint="eastAsia"/>
          <w:kern w:val="0"/>
          <w:sz w:val="18"/>
        </w:rPr>
        <w:t xml:space="preserve"> </w:t>
      </w:r>
      <w:proofErr w:type="gramStart"/>
      <w:r w:rsidRPr="00D16C50">
        <w:rPr>
          <w:rFonts w:ascii="Times New Roman" w:eastAsia="新宋体"/>
          <w:kern w:val="0"/>
          <w:sz w:val="18"/>
        </w:rPr>
        <w:t>张亦春</w:t>
      </w:r>
      <w:proofErr w:type="gramEnd"/>
      <w:r w:rsidRPr="00D16C50">
        <w:rPr>
          <w:rFonts w:ascii="Times New Roman" w:eastAsia="新宋体" w:hAnsi="Times New Roman"/>
          <w:kern w:val="0"/>
          <w:sz w:val="18"/>
        </w:rPr>
        <w:t xml:space="preserve">. </w:t>
      </w:r>
      <w:r w:rsidRPr="00D16C50">
        <w:rPr>
          <w:rFonts w:ascii="Times New Roman" w:eastAsia="新宋体"/>
          <w:kern w:val="0"/>
          <w:sz w:val="18"/>
        </w:rPr>
        <w:t>中国社会应用问题研究</w:t>
      </w:r>
      <w:r w:rsidRPr="00D16C50">
        <w:rPr>
          <w:rFonts w:ascii="Times New Roman" w:eastAsia="新宋体" w:hAnsi="Times New Roman"/>
          <w:kern w:val="0"/>
          <w:sz w:val="18"/>
        </w:rPr>
        <w:t>[M]</w:t>
      </w:r>
      <w:r w:rsidRPr="00D16C50">
        <w:rPr>
          <w:rFonts w:ascii="Times New Roman" w:eastAsia="新宋体"/>
          <w:kern w:val="0"/>
          <w:sz w:val="18"/>
        </w:rPr>
        <w:t>，北京：中国金融出版社，</w:t>
      </w:r>
      <w:r w:rsidRPr="00D16C50">
        <w:rPr>
          <w:rFonts w:ascii="Times New Roman" w:eastAsia="新宋体" w:hAnsi="Times New Roman"/>
          <w:kern w:val="0"/>
          <w:sz w:val="18"/>
        </w:rPr>
        <w:t>2004</w:t>
      </w:r>
      <w:r w:rsidRPr="00D16C50">
        <w:rPr>
          <w:rFonts w:ascii="Times New Roman" w:eastAsia="新宋体"/>
          <w:kern w:val="0"/>
          <w:sz w:val="18"/>
        </w:rPr>
        <w:t>，</w:t>
      </w:r>
      <w:r w:rsidRPr="00D16C50">
        <w:rPr>
          <w:rFonts w:ascii="Times New Roman" w:eastAsia="新宋体" w:hAnsi="Times New Roman"/>
          <w:kern w:val="0"/>
          <w:sz w:val="18"/>
        </w:rPr>
        <w:t>21-21.</w:t>
      </w:r>
    </w:p>
  </w:footnote>
  <w:footnote w:id="2">
    <w:p w14:paraId="2FE1A4EF" w14:textId="77777777" w:rsidR="002D2D76" w:rsidRPr="00AE44DA" w:rsidRDefault="002D2D76" w:rsidP="002D2D76">
      <w:pPr>
        <w:pStyle w:val="11"/>
        <w:rPr>
          <w:rFonts w:ascii="Times New Roman" w:eastAsia="新宋体" w:hAnsi="Times New Roman"/>
          <w:sz w:val="18"/>
        </w:rPr>
      </w:pPr>
      <w:r w:rsidRPr="00AE44DA">
        <w:rPr>
          <w:rFonts w:ascii="Times New Roman" w:eastAsia="新宋体" w:hAnsi="Times New Roman"/>
          <w:sz w:val="18"/>
        </w:rPr>
        <w:footnoteRef/>
      </w:r>
      <w:r>
        <w:rPr>
          <w:rFonts w:eastAsia="新宋体" w:hint="eastAsia"/>
          <w:kern w:val="0"/>
          <w:szCs w:val="21"/>
        </w:rPr>
        <w:t xml:space="preserve"> </w:t>
      </w:r>
      <w:proofErr w:type="gramStart"/>
      <w:r w:rsidRPr="00D16C50">
        <w:rPr>
          <w:rFonts w:ascii="Times New Roman" w:eastAsia="新宋体"/>
          <w:kern w:val="0"/>
          <w:sz w:val="18"/>
        </w:rPr>
        <w:t>张亦春</w:t>
      </w:r>
      <w:proofErr w:type="gramEnd"/>
      <w:r w:rsidRPr="00D16C50">
        <w:rPr>
          <w:rFonts w:ascii="Times New Roman" w:eastAsia="新宋体" w:hAnsi="Times New Roman"/>
          <w:kern w:val="0"/>
          <w:sz w:val="18"/>
        </w:rPr>
        <w:t xml:space="preserve">. </w:t>
      </w:r>
      <w:r w:rsidRPr="00D16C50">
        <w:rPr>
          <w:rFonts w:ascii="Times New Roman" w:eastAsia="新宋体"/>
          <w:kern w:val="0"/>
          <w:sz w:val="18"/>
        </w:rPr>
        <w:t>中国社会应用问题研究</w:t>
      </w:r>
      <w:r w:rsidRPr="00D16C50">
        <w:rPr>
          <w:rFonts w:ascii="Times New Roman" w:eastAsia="新宋体" w:hAnsi="Times New Roman"/>
          <w:kern w:val="0"/>
          <w:sz w:val="18"/>
        </w:rPr>
        <w:t>[M]</w:t>
      </w:r>
      <w:r w:rsidRPr="00D16C50">
        <w:rPr>
          <w:rFonts w:ascii="Times New Roman" w:eastAsia="新宋体"/>
          <w:kern w:val="0"/>
          <w:sz w:val="18"/>
        </w:rPr>
        <w:t>，北京：中国金融出版社，</w:t>
      </w:r>
      <w:r w:rsidRPr="00D16C50">
        <w:rPr>
          <w:rFonts w:ascii="Times New Roman" w:eastAsia="新宋体" w:hAnsi="Times New Roman"/>
          <w:kern w:val="0"/>
          <w:sz w:val="18"/>
        </w:rPr>
        <w:t>2004</w:t>
      </w:r>
      <w:r w:rsidRPr="00D16C50">
        <w:rPr>
          <w:rFonts w:ascii="Times New Roman" w:eastAsia="新宋体"/>
          <w:kern w:val="0"/>
          <w:sz w:val="18"/>
        </w:rPr>
        <w:t>，</w:t>
      </w:r>
      <w:r w:rsidRPr="00D16C50">
        <w:rPr>
          <w:rFonts w:ascii="Times New Roman" w:eastAsia="新宋体" w:hAnsi="Times New Roman"/>
          <w:kern w:val="0"/>
          <w:sz w:val="18"/>
        </w:rPr>
        <w:t>21-21.</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10D"/>
    <w:rsid w:val="001229D8"/>
    <w:rsid w:val="001B4656"/>
    <w:rsid w:val="0025005C"/>
    <w:rsid w:val="0026744F"/>
    <w:rsid w:val="002D2D76"/>
    <w:rsid w:val="00341F2B"/>
    <w:rsid w:val="0071210D"/>
    <w:rsid w:val="0072271E"/>
    <w:rsid w:val="008528E3"/>
    <w:rsid w:val="008D0AC4"/>
    <w:rsid w:val="00DB12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D2E900"/>
  <w15:chartTrackingRefBased/>
  <w15:docId w15:val="{500FFB34-BA7B-4B58-8523-EDC6E1577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2D76"/>
    <w:pPr>
      <w:widowControl w:val="0"/>
      <w:spacing w:after="0" w:line="240" w:lineRule="auto"/>
      <w:jc w:val="both"/>
    </w:pPr>
    <w:rPr>
      <w:rFonts w:ascii="Times New Roman" w:eastAsia="宋体" w:hAnsi="Times New Roman" w:cs="Times New Roman"/>
      <w:sz w:val="21"/>
      <w14:ligatures w14:val="none"/>
    </w:rPr>
  </w:style>
  <w:style w:type="paragraph" w:styleId="1">
    <w:name w:val="heading 1"/>
    <w:basedOn w:val="a"/>
    <w:next w:val="a"/>
    <w:link w:val="10"/>
    <w:uiPriority w:val="9"/>
    <w:qFormat/>
    <w:rsid w:val="0071210D"/>
    <w:pPr>
      <w:keepNext/>
      <w:keepLines/>
      <w:spacing w:before="480" w:after="80" w:line="278" w:lineRule="auto"/>
      <w:jc w:val="left"/>
      <w:outlineLvl w:val="0"/>
    </w:pPr>
    <w:rPr>
      <w:rFonts w:asciiTheme="majorHAnsi" w:eastAsiaTheme="majorEastAsia" w:hAnsiTheme="majorHAnsi" w:cstheme="majorBidi"/>
      <w:color w:val="2F5496" w:themeColor="accent1" w:themeShade="BF"/>
      <w:sz w:val="48"/>
      <w:szCs w:val="48"/>
      <w14:ligatures w14:val="standardContextual"/>
    </w:rPr>
  </w:style>
  <w:style w:type="paragraph" w:styleId="2">
    <w:name w:val="heading 2"/>
    <w:basedOn w:val="a"/>
    <w:next w:val="a"/>
    <w:link w:val="20"/>
    <w:unhideWhenUsed/>
    <w:qFormat/>
    <w:rsid w:val="0071210D"/>
    <w:pPr>
      <w:keepNext/>
      <w:keepLines/>
      <w:spacing w:before="160" w:after="80" w:line="278" w:lineRule="auto"/>
      <w:jc w:val="left"/>
      <w:outlineLvl w:val="1"/>
    </w:pPr>
    <w:rPr>
      <w:rFonts w:asciiTheme="majorHAnsi" w:eastAsiaTheme="majorEastAsia" w:hAnsiTheme="majorHAnsi" w:cstheme="majorBidi"/>
      <w:color w:val="2F5496" w:themeColor="accent1" w:themeShade="BF"/>
      <w:sz w:val="40"/>
      <w:szCs w:val="40"/>
      <w14:ligatures w14:val="standardContextual"/>
    </w:rPr>
  </w:style>
  <w:style w:type="paragraph" w:styleId="3">
    <w:name w:val="heading 3"/>
    <w:basedOn w:val="a"/>
    <w:next w:val="a"/>
    <w:link w:val="30"/>
    <w:unhideWhenUsed/>
    <w:qFormat/>
    <w:rsid w:val="0071210D"/>
    <w:pPr>
      <w:keepNext/>
      <w:keepLines/>
      <w:spacing w:before="160" w:after="80" w:line="278" w:lineRule="auto"/>
      <w:jc w:val="left"/>
      <w:outlineLvl w:val="2"/>
    </w:pPr>
    <w:rPr>
      <w:rFonts w:asciiTheme="majorHAnsi" w:eastAsiaTheme="majorEastAsia" w:hAnsiTheme="majorHAnsi" w:cstheme="majorBidi"/>
      <w:color w:val="2F5496" w:themeColor="accent1" w:themeShade="BF"/>
      <w:sz w:val="32"/>
      <w:szCs w:val="32"/>
      <w14:ligatures w14:val="standardContextual"/>
    </w:rPr>
  </w:style>
  <w:style w:type="paragraph" w:styleId="4">
    <w:name w:val="heading 4"/>
    <w:basedOn w:val="a"/>
    <w:next w:val="a"/>
    <w:link w:val="40"/>
    <w:uiPriority w:val="9"/>
    <w:semiHidden/>
    <w:unhideWhenUsed/>
    <w:qFormat/>
    <w:rsid w:val="0071210D"/>
    <w:pPr>
      <w:keepNext/>
      <w:keepLines/>
      <w:spacing w:before="80" w:after="40" w:line="278" w:lineRule="auto"/>
      <w:jc w:val="left"/>
      <w:outlineLvl w:val="3"/>
    </w:pPr>
    <w:rPr>
      <w:rFonts w:asciiTheme="minorHAnsi" w:eastAsiaTheme="minorEastAsia" w:hAnsiTheme="minorHAnsi" w:cstheme="majorBidi"/>
      <w:color w:val="2F5496" w:themeColor="accent1" w:themeShade="BF"/>
      <w:sz w:val="28"/>
      <w:szCs w:val="28"/>
      <w14:ligatures w14:val="standardContextual"/>
    </w:rPr>
  </w:style>
  <w:style w:type="paragraph" w:styleId="5">
    <w:name w:val="heading 5"/>
    <w:basedOn w:val="a"/>
    <w:next w:val="a"/>
    <w:link w:val="50"/>
    <w:uiPriority w:val="9"/>
    <w:semiHidden/>
    <w:unhideWhenUsed/>
    <w:qFormat/>
    <w:rsid w:val="0071210D"/>
    <w:pPr>
      <w:keepNext/>
      <w:keepLines/>
      <w:spacing w:before="80" w:after="40" w:line="278" w:lineRule="auto"/>
      <w:jc w:val="left"/>
      <w:outlineLvl w:val="4"/>
    </w:pPr>
    <w:rPr>
      <w:rFonts w:asciiTheme="minorHAnsi" w:eastAsiaTheme="minorEastAsia" w:hAnsiTheme="minorHAnsi" w:cstheme="majorBidi"/>
      <w:color w:val="2F5496" w:themeColor="accent1" w:themeShade="BF"/>
      <w:sz w:val="24"/>
      <w14:ligatures w14:val="standardContextual"/>
    </w:rPr>
  </w:style>
  <w:style w:type="paragraph" w:styleId="6">
    <w:name w:val="heading 6"/>
    <w:basedOn w:val="a"/>
    <w:next w:val="a"/>
    <w:link w:val="60"/>
    <w:uiPriority w:val="9"/>
    <w:semiHidden/>
    <w:unhideWhenUsed/>
    <w:qFormat/>
    <w:rsid w:val="0071210D"/>
    <w:pPr>
      <w:keepNext/>
      <w:keepLines/>
      <w:spacing w:before="40" w:line="278" w:lineRule="auto"/>
      <w:jc w:val="left"/>
      <w:outlineLvl w:val="5"/>
    </w:pPr>
    <w:rPr>
      <w:rFonts w:asciiTheme="minorHAnsi" w:eastAsiaTheme="minorEastAsia" w:hAnsiTheme="minorHAnsi" w:cstheme="majorBidi"/>
      <w:b/>
      <w:bCs/>
      <w:color w:val="2F5496" w:themeColor="accent1" w:themeShade="BF"/>
      <w:sz w:val="22"/>
      <w14:ligatures w14:val="standardContextual"/>
    </w:rPr>
  </w:style>
  <w:style w:type="paragraph" w:styleId="7">
    <w:name w:val="heading 7"/>
    <w:basedOn w:val="a"/>
    <w:next w:val="a"/>
    <w:link w:val="70"/>
    <w:uiPriority w:val="9"/>
    <w:semiHidden/>
    <w:unhideWhenUsed/>
    <w:qFormat/>
    <w:rsid w:val="0071210D"/>
    <w:pPr>
      <w:keepNext/>
      <w:keepLines/>
      <w:spacing w:before="40" w:line="278" w:lineRule="auto"/>
      <w:jc w:val="left"/>
      <w:outlineLvl w:val="6"/>
    </w:pPr>
    <w:rPr>
      <w:rFonts w:asciiTheme="minorHAnsi" w:eastAsiaTheme="minorEastAsia" w:hAnsiTheme="minorHAnsi" w:cstheme="majorBidi"/>
      <w:b/>
      <w:bCs/>
      <w:color w:val="595959" w:themeColor="text1" w:themeTint="A6"/>
      <w:sz w:val="22"/>
      <w14:ligatures w14:val="standardContextual"/>
    </w:rPr>
  </w:style>
  <w:style w:type="paragraph" w:styleId="8">
    <w:name w:val="heading 8"/>
    <w:basedOn w:val="a"/>
    <w:next w:val="a"/>
    <w:link w:val="80"/>
    <w:uiPriority w:val="9"/>
    <w:semiHidden/>
    <w:unhideWhenUsed/>
    <w:qFormat/>
    <w:rsid w:val="0071210D"/>
    <w:pPr>
      <w:keepNext/>
      <w:keepLines/>
      <w:spacing w:line="278" w:lineRule="auto"/>
      <w:jc w:val="left"/>
      <w:outlineLvl w:val="7"/>
    </w:pPr>
    <w:rPr>
      <w:rFonts w:asciiTheme="minorHAnsi" w:eastAsiaTheme="minorEastAsia" w:hAnsiTheme="minorHAnsi" w:cstheme="majorBidi"/>
      <w:color w:val="595959" w:themeColor="text1" w:themeTint="A6"/>
      <w:sz w:val="22"/>
      <w14:ligatures w14:val="standardContextual"/>
    </w:rPr>
  </w:style>
  <w:style w:type="paragraph" w:styleId="9">
    <w:name w:val="heading 9"/>
    <w:basedOn w:val="a"/>
    <w:next w:val="a"/>
    <w:link w:val="90"/>
    <w:uiPriority w:val="9"/>
    <w:semiHidden/>
    <w:unhideWhenUsed/>
    <w:qFormat/>
    <w:rsid w:val="0071210D"/>
    <w:pPr>
      <w:keepNext/>
      <w:keepLines/>
      <w:spacing w:line="278" w:lineRule="auto"/>
      <w:jc w:val="left"/>
      <w:outlineLvl w:val="8"/>
    </w:pPr>
    <w:rPr>
      <w:rFonts w:asciiTheme="minorHAnsi" w:eastAsiaTheme="majorEastAsia" w:hAnsiTheme="minorHAnsi" w:cstheme="majorBidi"/>
      <w:color w:val="595959" w:themeColor="text1" w:themeTint="A6"/>
      <w:sz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1210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1210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1210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1210D"/>
    <w:rPr>
      <w:rFonts w:cstheme="majorBidi"/>
      <w:color w:val="2F5496" w:themeColor="accent1" w:themeShade="BF"/>
      <w:sz w:val="28"/>
      <w:szCs w:val="28"/>
    </w:rPr>
  </w:style>
  <w:style w:type="character" w:customStyle="1" w:styleId="50">
    <w:name w:val="标题 5 字符"/>
    <w:basedOn w:val="a0"/>
    <w:link w:val="5"/>
    <w:uiPriority w:val="9"/>
    <w:semiHidden/>
    <w:rsid w:val="0071210D"/>
    <w:rPr>
      <w:rFonts w:cstheme="majorBidi"/>
      <w:color w:val="2F5496" w:themeColor="accent1" w:themeShade="BF"/>
      <w:sz w:val="24"/>
    </w:rPr>
  </w:style>
  <w:style w:type="character" w:customStyle="1" w:styleId="60">
    <w:name w:val="标题 6 字符"/>
    <w:basedOn w:val="a0"/>
    <w:link w:val="6"/>
    <w:uiPriority w:val="9"/>
    <w:semiHidden/>
    <w:rsid w:val="0071210D"/>
    <w:rPr>
      <w:rFonts w:cstheme="majorBidi"/>
      <w:b/>
      <w:bCs/>
      <w:color w:val="2F5496" w:themeColor="accent1" w:themeShade="BF"/>
    </w:rPr>
  </w:style>
  <w:style w:type="character" w:customStyle="1" w:styleId="70">
    <w:name w:val="标题 7 字符"/>
    <w:basedOn w:val="a0"/>
    <w:link w:val="7"/>
    <w:uiPriority w:val="9"/>
    <w:semiHidden/>
    <w:rsid w:val="0071210D"/>
    <w:rPr>
      <w:rFonts w:cstheme="majorBidi"/>
      <w:b/>
      <w:bCs/>
      <w:color w:val="595959" w:themeColor="text1" w:themeTint="A6"/>
    </w:rPr>
  </w:style>
  <w:style w:type="character" w:customStyle="1" w:styleId="80">
    <w:name w:val="标题 8 字符"/>
    <w:basedOn w:val="a0"/>
    <w:link w:val="8"/>
    <w:uiPriority w:val="9"/>
    <w:semiHidden/>
    <w:rsid w:val="0071210D"/>
    <w:rPr>
      <w:rFonts w:cstheme="majorBidi"/>
      <w:color w:val="595959" w:themeColor="text1" w:themeTint="A6"/>
    </w:rPr>
  </w:style>
  <w:style w:type="character" w:customStyle="1" w:styleId="90">
    <w:name w:val="标题 9 字符"/>
    <w:basedOn w:val="a0"/>
    <w:link w:val="9"/>
    <w:uiPriority w:val="9"/>
    <w:semiHidden/>
    <w:rsid w:val="0071210D"/>
    <w:rPr>
      <w:rFonts w:eastAsiaTheme="majorEastAsia" w:cstheme="majorBidi"/>
      <w:color w:val="595959" w:themeColor="text1" w:themeTint="A6"/>
    </w:rPr>
  </w:style>
  <w:style w:type="paragraph" w:styleId="a3">
    <w:name w:val="Title"/>
    <w:basedOn w:val="a"/>
    <w:next w:val="a"/>
    <w:link w:val="a4"/>
    <w:uiPriority w:val="10"/>
    <w:qFormat/>
    <w:rsid w:val="0071210D"/>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标题 字符"/>
    <w:basedOn w:val="a0"/>
    <w:link w:val="a3"/>
    <w:uiPriority w:val="10"/>
    <w:rsid w:val="0071210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1210D"/>
    <w:pPr>
      <w:numPr>
        <w:ilvl w:val="1"/>
      </w:numPr>
      <w:spacing w:after="160" w:line="278"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标题 字符"/>
    <w:basedOn w:val="a0"/>
    <w:link w:val="a5"/>
    <w:uiPriority w:val="11"/>
    <w:rsid w:val="0071210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1210D"/>
    <w:pPr>
      <w:spacing w:before="160" w:after="160" w:line="278" w:lineRule="auto"/>
      <w:jc w:val="center"/>
    </w:pPr>
    <w:rPr>
      <w:rFonts w:asciiTheme="minorHAnsi" w:eastAsiaTheme="minorEastAsia" w:hAnsiTheme="minorHAnsi" w:cstheme="minorBidi"/>
      <w:i/>
      <w:iCs/>
      <w:color w:val="404040" w:themeColor="text1" w:themeTint="BF"/>
      <w:sz w:val="22"/>
      <w14:ligatures w14:val="standardContextual"/>
    </w:rPr>
  </w:style>
  <w:style w:type="character" w:customStyle="1" w:styleId="a8">
    <w:name w:val="引用 字符"/>
    <w:basedOn w:val="a0"/>
    <w:link w:val="a7"/>
    <w:uiPriority w:val="29"/>
    <w:rsid w:val="0071210D"/>
    <w:rPr>
      <w:i/>
      <w:iCs/>
      <w:color w:val="404040" w:themeColor="text1" w:themeTint="BF"/>
    </w:rPr>
  </w:style>
  <w:style w:type="paragraph" w:styleId="a9">
    <w:name w:val="List Paragraph"/>
    <w:basedOn w:val="a"/>
    <w:uiPriority w:val="34"/>
    <w:qFormat/>
    <w:rsid w:val="0071210D"/>
    <w:pPr>
      <w:spacing w:after="160" w:line="278" w:lineRule="auto"/>
      <w:ind w:left="720"/>
      <w:contextualSpacing/>
      <w:jc w:val="left"/>
    </w:pPr>
    <w:rPr>
      <w:rFonts w:asciiTheme="minorHAnsi" w:eastAsiaTheme="minorEastAsia" w:hAnsiTheme="minorHAnsi" w:cstheme="minorBidi"/>
      <w:sz w:val="22"/>
      <w14:ligatures w14:val="standardContextual"/>
    </w:rPr>
  </w:style>
  <w:style w:type="character" w:styleId="aa">
    <w:name w:val="Intense Emphasis"/>
    <w:basedOn w:val="a0"/>
    <w:uiPriority w:val="21"/>
    <w:qFormat/>
    <w:rsid w:val="0071210D"/>
    <w:rPr>
      <w:i/>
      <w:iCs/>
      <w:color w:val="2F5496" w:themeColor="accent1" w:themeShade="BF"/>
    </w:rPr>
  </w:style>
  <w:style w:type="paragraph" w:styleId="ab">
    <w:name w:val="Intense Quote"/>
    <w:basedOn w:val="a"/>
    <w:next w:val="a"/>
    <w:link w:val="ac"/>
    <w:uiPriority w:val="30"/>
    <w:qFormat/>
    <w:rsid w:val="0071210D"/>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EastAsia" w:hAnsiTheme="minorHAnsi" w:cstheme="minorBidi"/>
      <w:i/>
      <w:iCs/>
      <w:color w:val="2F5496" w:themeColor="accent1" w:themeShade="BF"/>
      <w:sz w:val="22"/>
      <w14:ligatures w14:val="standardContextual"/>
    </w:rPr>
  </w:style>
  <w:style w:type="character" w:customStyle="1" w:styleId="ac">
    <w:name w:val="明显引用 字符"/>
    <w:basedOn w:val="a0"/>
    <w:link w:val="ab"/>
    <w:uiPriority w:val="30"/>
    <w:rsid w:val="0071210D"/>
    <w:rPr>
      <w:i/>
      <w:iCs/>
      <w:color w:val="2F5496" w:themeColor="accent1" w:themeShade="BF"/>
    </w:rPr>
  </w:style>
  <w:style w:type="character" w:styleId="ad">
    <w:name w:val="Intense Reference"/>
    <w:basedOn w:val="a0"/>
    <w:uiPriority w:val="32"/>
    <w:qFormat/>
    <w:rsid w:val="0071210D"/>
    <w:rPr>
      <w:b/>
      <w:bCs/>
      <w:smallCaps/>
      <w:color w:val="2F5496" w:themeColor="accent1" w:themeShade="BF"/>
      <w:spacing w:val="5"/>
    </w:rPr>
  </w:style>
  <w:style w:type="paragraph" w:styleId="ae">
    <w:name w:val="header"/>
    <w:basedOn w:val="a"/>
    <w:link w:val="af"/>
    <w:uiPriority w:val="99"/>
    <w:unhideWhenUsed/>
    <w:rsid w:val="002D2D76"/>
    <w:pPr>
      <w:tabs>
        <w:tab w:val="center" w:pos="4153"/>
        <w:tab w:val="right" w:pos="8306"/>
      </w:tabs>
      <w:snapToGrid w:val="0"/>
      <w:spacing w:after="160"/>
      <w:jc w:val="center"/>
    </w:pPr>
    <w:rPr>
      <w:rFonts w:asciiTheme="minorHAnsi" w:eastAsiaTheme="minorEastAsia" w:hAnsiTheme="minorHAnsi" w:cstheme="minorBidi"/>
      <w:sz w:val="18"/>
      <w:szCs w:val="18"/>
      <w14:ligatures w14:val="standardContextual"/>
    </w:rPr>
  </w:style>
  <w:style w:type="character" w:customStyle="1" w:styleId="af">
    <w:name w:val="页眉 字符"/>
    <w:basedOn w:val="a0"/>
    <w:link w:val="ae"/>
    <w:uiPriority w:val="99"/>
    <w:rsid w:val="002D2D76"/>
    <w:rPr>
      <w:sz w:val="18"/>
      <w:szCs w:val="18"/>
    </w:rPr>
  </w:style>
  <w:style w:type="paragraph" w:styleId="af0">
    <w:name w:val="footer"/>
    <w:basedOn w:val="a"/>
    <w:link w:val="af1"/>
    <w:uiPriority w:val="99"/>
    <w:unhideWhenUsed/>
    <w:rsid w:val="002D2D76"/>
    <w:pPr>
      <w:tabs>
        <w:tab w:val="center" w:pos="4153"/>
        <w:tab w:val="right" w:pos="8306"/>
      </w:tabs>
      <w:snapToGrid w:val="0"/>
      <w:spacing w:after="160"/>
      <w:jc w:val="left"/>
    </w:pPr>
    <w:rPr>
      <w:rFonts w:asciiTheme="minorHAnsi" w:eastAsiaTheme="minorEastAsia" w:hAnsiTheme="minorHAnsi" w:cstheme="minorBidi"/>
      <w:sz w:val="18"/>
      <w:szCs w:val="18"/>
      <w14:ligatures w14:val="standardContextual"/>
    </w:rPr>
  </w:style>
  <w:style w:type="character" w:customStyle="1" w:styleId="af1">
    <w:name w:val="页脚 字符"/>
    <w:basedOn w:val="a0"/>
    <w:link w:val="af0"/>
    <w:uiPriority w:val="99"/>
    <w:rsid w:val="002D2D76"/>
    <w:rPr>
      <w:sz w:val="18"/>
      <w:szCs w:val="18"/>
    </w:rPr>
  </w:style>
  <w:style w:type="character" w:customStyle="1" w:styleId="3Char">
    <w:name w:val="标题 3 Char"/>
    <w:rsid w:val="002D2D76"/>
    <w:rPr>
      <w:rFonts w:eastAsia="宋体"/>
      <w:b/>
      <w:bCs/>
      <w:kern w:val="2"/>
      <w:sz w:val="32"/>
      <w:szCs w:val="32"/>
      <w:lang w:val="en-US" w:eastAsia="zh-CN" w:bidi="ar-SA"/>
    </w:rPr>
  </w:style>
  <w:style w:type="character" w:styleId="af2">
    <w:name w:val="footnote reference"/>
    <w:semiHidden/>
    <w:rsid w:val="002D2D76"/>
    <w:rPr>
      <w:vertAlign w:val="superscript"/>
    </w:rPr>
  </w:style>
  <w:style w:type="paragraph" w:customStyle="1" w:styleId="11">
    <w:name w:val="样式1"/>
    <w:basedOn w:val="af3"/>
    <w:link w:val="1Char"/>
    <w:rsid w:val="002D2D76"/>
    <w:rPr>
      <w:rFonts w:ascii="楷体" w:eastAsia="楷体" w:hAnsi="楷体"/>
      <w:sz w:val="21"/>
    </w:rPr>
  </w:style>
  <w:style w:type="character" w:customStyle="1" w:styleId="1Char">
    <w:name w:val="样式1 Char"/>
    <w:link w:val="11"/>
    <w:rsid w:val="002D2D76"/>
    <w:rPr>
      <w:rFonts w:ascii="楷体" w:eastAsia="楷体" w:hAnsi="楷体" w:cs="Times New Roman"/>
      <w:sz w:val="21"/>
      <w:szCs w:val="18"/>
      <w14:ligatures w14:val="none"/>
    </w:rPr>
  </w:style>
  <w:style w:type="paragraph" w:styleId="af3">
    <w:name w:val="footnote text"/>
    <w:basedOn w:val="a"/>
    <w:link w:val="af4"/>
    <w:uiPriority w:val="99"/>
    <w:semiHidden/>
    <w:unhideWhenUsed/>
    <w:rsid w:val="002D2D76"/>
    <w:pPr>
      <w:snapToGrid w:val="0"/>
      <w:jc w:val="left"/>
    </w:pPr>
    <w:rPr>
      <w:sz w:val="18"/>
      <w:szCs w:val="18"/>
    </w:rPr>
  </w:style>
  <w:style w:type="character" w:customStyle="1" w:styleId="af4">
    <w:name w:val="脚注文本 字符"/>
    <w:basedOn w:val="a0"/>
    <w:link w:val="af3"/>
    <w:uiPriority w:val="99"/>
    <w:semiHidden/>
    <w:rsid w:val="002D2D76"/>
    <w:rPr>
      <w:rFonts w:ascii="Times New Roman" w:eastAsia="宋体" w:hAnsi="Times New Roman" w:cs="Times New Roman"/>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513</Words>
  <Characters>2927</Characters>
  <Application>Microsoft Office Word</Application>
  <DocSecurity>0</DocSecurity>
  <Lines>24</Lines>
  <Paragraphs>6</Paragraphs>
  <ScaleCrop>false</ScaleCrop>
  <Company/>
  <LinksUpToDate>false</LinksUpToDate>
  <CharactersWithSpaces>3434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nomercy</dc:creator>
  <cp:keywords/>
  <dc:description/>
  <cp:lastModifiedBy>charles nomercy</cp:lastModifiedBy>
  <cp:revision>2</cp:revision>
  <dcterms:created xsi:type="dcterms:W3CDTF">2025-10-21T07:39:00Z</dcterms:created>
  <dcterms:modified xsi:type="dcterms:W3CDTF">2025-10-21T07:40:00Z</dcterms:modified>
</cp:coreProperties>
</file>