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F1FB" w14:textId="792E7272" w:rsidR="00650FBE" w:rsidRDefault="00650FBE" w:rsidP="00650FBE">
      <w:pPr>
        <w:pStyle w:val="2"/>
        <w:adjustRightInd w:val="0"/>
        <w:spacing w:beforeLines="50" w:before="156" w:afterLines="50" w:after="156" w:line="440" w:lineRule="exact"/>
        <w:jc w:val="center"/>
        <w:rPr>
          <w:rFonts w:ascii="黑体" w:eastAsia="黑体" w:hAnsi="Times New Roman" w:cs="Times New Roman"/>
          <w:bCs/>
          <w:color w:val="auto"/>
          <w:sz w:val="44"/>
          <w:szCs w:val="44"/>
          <w14:ligatures w14:val="none"/>
        </w:rPr>
      </w:pPr>
      <w:r w:rsidRPr="00650FBE">
        <w:rPr>
          <w:rFonts w:ascii="黑体" w:eastAsia="黑体" w:hAnsi="Times New Roman" w:cs="Times New Roman" w:hint="eastAsia"/>
          <w:bCs/>
          <w:color w:val="auto"/>
          <w:sz w:val="44"/>
          <w:szCs w:val="44"/>
          <w14:ligatures w14:val="none"/>
        </w:rPr>
        <w:t>信用缺失的产权经济学理论分析</w:t>
      </w:r>
    </w:p>
    <w:p w14:paraId="6810CBFA" w14:textId="77777777" w:rsidR="00650FBE" w:rsidRPr="00650FBE" w:rsidRDefault="00650FBE" w:rsidP="00650FBE">
      <w:pPr>
        <w:rPr>
          <w:rFonts w:hint="eastAsia"/>
        </w:rPr>
      </w:pPr>
    </w:p>
    <w:p w14:paraId="4484536C" w14:textId="702691E9" w:rsidR="00650FBE" w:rsidRPr="00800D22" w:rsidRDefault="00650FBE" w:rsidP="00650FBE">
      <w:pPr>
        <w:widowControl/>
        <w:spacing w:line="440" w:lineRule="exact"/>
        <w:outlineLvl w:val="3"/>
        <w:rPr>
          <w:rFonts w:ascii="黑体" w:eastAsia="黑体" w:hAnsi="宋体"/>
          <w:bCs/>
          <w:sz w:val="24"/>
        </w:rPr>
      </w:pPr>
      <w:r>
        <w:rPr>
          <w:rFonts w:ascii="黑体" w:eastAsia="黑体" w:hAnsi="宋体" w:hint="eastAsia"/>
          <w:bCs/>
          <w:sz w:val="24"/>
        </w:rPr>
        <w:t>一、</w:t>
      </w:r>
      <w:r w:rsidRPr="00800D22">
        <w:rPr>
          <w:rFonts w:ascii="黑体" w:eastAsia="黑体" w:hAnsi="宋体"/>
          <w:bCs/>
          <w:sz w:val="24"/>
        </w:rPr>
        <w:t>产权经济学理论</w:t>
      </w:r>
    </w:p>
    <w:p w14:paraId="238131CC" w14:textId="77777777" w:rsidR="00650FBE" w:rsidRPr="00800D22" w:rsidRDefault="00650FBE" w:rsidP="00650FBE">
      <w:pPr>
        <w:spacing w:line="440" w:lineRule="exact"/>
        <w:ind w:firstLineChars="200" w:firstLine="480"/>
        <w:rPr>
          <w:sz w:val="24"/>
        </w:rPr>
      </w:pPr>
      <w:r w:rsidRPr="00800D22">
        <w:rPr>
          <w:sz w:val="24"/>
        </w:rPr>
        <w:t>产权经济学认为，市场上的交易不是物与物的交换，而是两束权利的交换，权利的价值决定了所交换的物品的价值。</w:t>
      </w:r>
      <w:r w:rsidRPr="00800D22">
        <w:rPr>
          <w:rFonts w:hint="eastAsia"/>
          <w:sz w:val="24"/>
        </w:rPr>
        <w:t>因而</w:t>
      </w:r>
      <w:r w:rsidRPr="00800D22">
        <w:rPr>
          <w:sz w:val="24"/>
        </w:rPr>
        <w:t>，产权明晰是交换的前提。</w:t>
      </w:r>
    </w:p>
    <w:p w14:paraId="2E60379A" w14:textId="77777777" w:rsidR="00650FBE" w:rsidRPr="00800D22" w:rsidRDefault="00650FBE" w:rsidP="00650FBE">
      <w:pPr>
        <w:spacing w:line="440" w:lineRule="exact"/>
        <w:ind w:firstLineChars="200" w:firstLine="480"/>
        <w:rPr>
          <w:sz w:val="24"/>
        </w:rPr>
      </w:pPr>
      <w:r w:rsidRPr="00800D22">
        <w:rPr>
          <w:sz w:val="24"/>
        </w:rPr>
        <w:t>产权经济学要处理和解决的就是人对利益环境的反应规则和经济组织的行为规则。因此，建立产权不仅仅是界定产权，而且还包括产权规则的实施及对产权的有效保护，特别是后者对规范市场交易行为，维护交易秩序意义重大。通常界定产权是以所有权（法律意义上的产权）为依据的，产权明晰的前提和标志是法律明确规定所有权的归属。实际上，产权这一含义至少包括两层范畴：即一是法律意义上的产权（所有权意义上的）；二是事实上的产权（控制权意义上的）。其实这两种层面上的产权往往并不一致，造成这种结果的原因是因为交易费用的存在。如果交易费用过高，即使法律明确界定了产权归属，而事实上产权作用是难以完全体现的。所以，完整意义上的产权应同时注重产权的界定和产权的功能，即所有权意义上的产权和控制权意义上的产权二者的统一性。正因为如此，把控制权作为产权的核心以及把对资产的控制权视为所有权是产权经济学理论研究的中心思路。</w:t>
      </w:r>
    </w:p>
    <w:p w14:paraId="3C41D647" w14:textId="77777777" w:rsidR="00650FBE" w:rsidRPr="00800D22" w:rsidRDefault="00650FBE" w:rsidP="00650FBE">
      <w:pPr>
        <w:spacing w:line="440" w:lineRule="exact"/>
        <w:ind w:firstLineChars="200" w:firstLine="480"/>
        <w:rPr>
          <w:sz w:val="24"/>
        </w:rPr>
      </w:pPr>
      <w:r w:rsidRPr="00800D22">
        <w:rPr>
          <w:sz w:val="24"/>
        </w:rPr>
        <w:t>产权经济学强调了所有权、激励与经济行为的内在联系</w:t>
      </w:r>
      <w:r w:rsidRPr="00800D22">
        <w:rPr>
          <w:rFonts w:hint="eastAsia"/>
          <w:sz w:val="24"/>
        </w:rPr>
        <w:t>，</w:t>
      </w:r>
      <w:r w:rsidRPr="00800D22">
        <w:rPr>
          <w:sz w:val="24"/>
        </w:rPr>
        <w:t>对交换理论进行了拓展。其拓展思路可以概括为：</w:t>
      </w:r>
      <w:r w:rsidRPr="00800D22">
        <w:rPr>
          <w:rFonts w:hint="eastAsia"/>
          <w:sz w:val="24"/>
        </w:rPr>
        <w:t>（</w:t>
      </w:r>
      <w:r w:rsidRPr="00800D22">
        <w:rPr>
          <w:rFonts w:hint="eastAsia"/>
          <w:sz w:val="24"/>
        </w:rPr>
        <w:t>1</w:t>
      </w:r>
      <w:r w:rsidRPr="00800D22">
        <w:rPr>
          <w:rFonts w:hint="eastAsia"/>
          <w:sz w:val="24"/>
        </w:rPr>
        <w:t>）</w:t>
      </w:r>
      <w:r w:rsidRPr="00800D22">
        <w:rPr>
          <w:sz w:val="24"/>
        </w:rPr>
        <w:t>给出了关于一个生产组织内的单个决策者所起的作用的全新解释。假定个人在现有的组织结构所确立的约束条件下追求自己的权益，并且使效用最大化。</w:t>
      </w:r>
      <w:r w:rsidRPr="00800D22">
        <w:rPr>
          <w:rFonts w:hint="eastAsia"/>
          <w:sz w:val="24"/>
        </w:rPr>
        <w:t>（</w:t>
      </w:r>
      <w:r w:rsidRPr="00800D22">
        <w:rPr>
          <w:rFonts w:hint="eastAsia"/>
          <w:sz w:val="24"/>
        </w:rPr>
        <w:t>2</w:t>
      </w:r>
      <w:r w:rsidRPr="00800D22">
        <w:rPr>
          <w:rFonts w:hint="eastAsia"/>
          <w:sz w:val="24"/>
        </w:rPr>
        <w:t>）</w:t>
      </w:r>
      <w:r w:rsidRPr="00800D22">
        <w:rPr>
          <w:sz w:val="24"/>
        </w:rPr>
        <w:t>认为存在多种形式的产权，而且不能保证利润最大化。通过考察各种可能的制度安排对收益</w:t>
      </w:r>
      <w:r w:rsidRPr="00800D22">
        <w:rPr>
          <w:sz w:val="24"/>
        </w:rPr>
        <w:t>—</w:t>
      </w:r>
      <w:r w:rsidRPr="00800D22">
        <w:rPr>
          <w:sz w:val="24"/>
        </w:rPr>
        <w:t>报酬制度的影响，从而可能详细地分析制度安排与经济行为之间的相互关系。</w:t>
      </w:r>
      <w:r w:rsidRPr="00800D22">
        <w:rPr>
          <w:rFonts w:hint="eastAsia"/>
          <w:sz w:val="24"/>
        </w:rPr>
        <w:t>（</w:t>
      </w:r>
      <w:r w:rsidRPr="00800D22">
        <w:rPr>
          <w:rFonts w:hint="eastAsia"/>
          <w:sz w:val="24"/>
        </w:rPr>
        <w:t>3</w:t>
      </w:r>
      <w:r w:rsidRPr="00800D22">
        <w:rPr>
          <w:rFonts w:hint="eastAsia"/>
          <w:sz w:val="24"/>
        </w:rPr>
        <w:t>）</w:t>
      </w:r>
      <w:r w:rsidRPr="00800D22">
        <w:rPr>
          <w:sz w:val="24"/>
        </w:rPr>
        <w:t>认识到交易费用大于零，在所有情形中具有的实际重要性。产权理论将效用函数与单个决策者联系起来，系统地阐述了富有经验意义的最优化问题，然后将特定的内容引入到函数中去。不同的产权安排会导致不同的收益</w:t>
      </w:r>
      <w:r w:rsidRPr="00800D22">
        <w:rPr>
          <w:sz w:val="24"/>
        </w:rPr>
        <w:t>—</w:t>
      </w:r>
      <w:r w:rsidRPr="00800D22">
        <w:rPr>
          <w:sz w:val="24"/>
        </w:rPr>
        <w:t>报酬结构。交易费用与产权有着内在的联系，若交易费用为零，采用什么产权都无所谓（即所有产权的效率相同）。若交易费用为正，产权极其重要，并且不同的产权安排下人的行为、绩效</w:t>
      </w:r>
      <w:r w:rsidRPr="00800D22">
        <w:rPr>
          <w:rFonts w:hint="eastAsia"/>
          <w:sz w:val="24"/>
        </w:rPr>
        <w:t>和</w:t>
      </w:r>
      <w:r w:rsidRPr="00800D22">
        <w:rPr>
          <w:sz w:val="24"/>
        </w:rPr>
        <w:t>收入分配结构等都各不相同。通过不同产权安排的选择来实现财富的最大化是产权理论的价值所在。莱索托在其《资本的秘密》一书中指出了西方国家的正规所有权制度产生了六种效应：确定资产中的经济潜能</w:t>
      </w:r>
      <w:r w:rsidRPr="00800D22">
        <w:rPr>
          <w:rFonts w:hint="eastAsia"/>
          <w:sz w:val="24"/>
        </w:rPr>
        <w:t>、</w:t>
      </w:r>
      <w:r w:rsidRPr="00800D22">
        <w:rPr>
          <w:sz w:val="24"/>
        </w:rPr>
        <w:t>把分散的信息综合融入一个制度</w:t>
      </w:r>
      <w:r w:rsidRPr="00800D22">
        <w:rPr>
          <w:rFonts w:hint="eastAsia"/>
          <w:sz w:val="24"/>
        </w:rPr>
        <w:t>、</w:t>
      </w:r>
      <w:r w:rsidRPr="00800D22">
        <w:rPr>
          <w:sz w:val="24"/>
        </w:rPr>
        <w:t>建立责任</w:t>
      </w:r>
      <w:r w:rsidRPr="00800D22">
        <w:rPr>
          <w:sz w:val="24"/>
        </w:rPr>
        <w:lastRenderedPageBreak/>
        <w:t>制度</w:t>
      </w:r>
      <w:r w:rsidRPr="00800D22">
        <w:rPr>
          <w:rFonts w:hint="eastAsia"/>
          <w:sz w:val="24"/>
        </w:rPr>
        <w:t>、</w:t>
      </w:r>
      <w:r w:rsidRPr="00800D22">
        <w:rPr>
          <w:sz w:val="24"/>
        </w:rPr>
        <w:t>使资本能够互换</w:t>
      </w:r>
      <w:r w:rsidRPr="00800D22">
        <w:rPr>
          <w:rFonts w:hint="eastAsia"/>
          <w:sz w:val="24"/>
        </w:rPr>
        <w:t>、</w:t>
      </w:r>
      <w:r w:rsidRPr="00800D22">
        <w:rPr>
          <w:sz w:val="24"/>
        </w:rPr>
        <w:t>建立人际关系网络</w:t>
      </w:r>
      <w:r w:rsidRPr="00800D22">
        <w:rPr>
          <w:rFonts w:hint="eastAsia"/>
          <w:sz w:val="24"/>
        </w:rPr>
        <w:t>、</w:t>
      </w:r>
      <w:r w:rsidRPr="00800D22">
        <w:rPr>
          <w:sz w:val="24"/>
        </w:rPr>
        <w:t>保护交易。</w:t>
      </w:r>
    </w:p>
    <w:p w14:paraId="44C638A3" w14:textId="4B9A9BA7" w:rsidR="00650FBE" w:rsidRPr="00800D22" w:rsidRDefault="00650FBE" w:rsidP="00650FBE">
      <w:pPr>
        <w:widowControl/>
        <w:spacing w:line="440" w:lineRule="exact"/>
        <w:outlineLvl w:val="3"/>
        <w:rPr>
          <w:rFonts w:ascii="黑体" w:eastAsia="黑体" w:hAnsi="宋体"/>
          <w:bCs/>
          <w:sz w:val="24"/>
        </w:rPr>
      </w:pPr>
      <w:r>
        <w:rPr>
          <w:rFonts w:ascii="黑体" w:eastAsia="黑体" w:hAnsi="宋体" w:hint="eastAsia"/>
          <w:bCs/>
          <w:sz w:val="24"/>
        </w:rPr>
        <w:t>二、</w:t>
      </w:r>
      <w:r w:rsidRPr="00800D22">
        <w:rPr>
          <w:rFonts w:ascii="黑体" w:eastAsia="黑体" w:hAnsi="宋体"/>
          <w:bCs/>
          <w:sz w:val="24"/>
        </w:rPr>
        <w:t>产权制度与我国的信用缺失</w:t>
      </w:r>
    </w:p>
    <w:p w14:paraId="03778CB3" w14:textId="77777777" w:rsidR="00650FBE" w:rsidRPr="00800D22" w:rsidRDefault="00650FBE" w:rsidP="00650FBE">
      <w:pPr>
        <w:spacing w:line="440" w:lineRule="exact"/>
        <w:ind w:firstLine="480"/>
        <w:rPr>
          <w:sz w:val="24"/>
        </w:rPr>
      </w:pPr>
      <w:r w:rsidRPr="00800D22">
        <w:rPr>
          <w:sz w:val="24"/>
        </w:rPr>
        <w:t>就信用的本质而言，信用是以财产所有权的明确界定和独占为基础、以财产使用权的交易为内容、以偿还财产和付息为条件的财产借贷行为。显然，信用关系实质是财产关系，信用活动产生的制度前提是交易双方必须拥有独立和明确的财产所有权或产权。这种财产具有独占权、排他权、支配权、使用权和索取权。这种性质决定了交易主体可以用自己的财产去交换别人的财产，并在彼此信任的基础上进行赊销赊购</w:t>
      </w:r>
      <w:r w:rsidRPr="00800D22">
        <w:rPr>
          <w:rFonts w:hint="eastAsia"/>
          <w:sz w:val="24"/>
        </w:rPr>
        <w:t>和</w:t>
      </w:r>
      <w:r w:rsidRPr="00800D22">
        <w:rPr>
          <w:sz w:val="24"/>
        </w:rPr>
        <w:t>借贷还债的信用交易。产权不明则交易不清，交易不清则信用不立。也就是说，如果经济主体没有属于自己独立的财产，交易双方就不可能产生真正意义上的交换活动和借贷行为，没有交换活动就无所谓信用交易，信用关系就无从确立。古代思想家孟子曾讲</w:t>
      </w:r>
      <w:r w:rsidRPr="00800D22">
        <w:rPr>
          <w:rFonts w:hint="eastAsia"/>
          <w:sz w:val="24"/>
        </w:rPr>
        <w:t>“</w:t>
      </w:r>
      <w:r w:rsidRPr="00800D22">
        <w:rPr>
          <w:sz w:val="24"/>
        </w:rPr>
        <w:t>无恒产者无恒心</w:t>
      </w:r>
      <w:r w:rsidRPr="00800D22">
        <w:rPr>
          <w:rFonts w:hint="eastAsia"/>
          <w:sz w:val="24"/>
        </w:rPr>
        <w:t>”</w:t>
      </w:r>
      <w:r w:rsidRPr="00800D22">
        <w:rPr>
          <w:sz w:val="24"/>
        </w:rPr>
        <w:t>，也就是</w:t>
      </w:r>
      <w:r w:rsidRPr="00800D22">
        <w:rPr>
          <w:rFonts w:hint="eastAsia"/>
          <w:sz w:val="24"/>
        </w:rPr>
        <w:t>“</w:t>
      </w:r>
      <w:r w:rsidRPr="00800D22">
        <w:rPr>
          <w:sz w:val="24"/>
        </w:rPr>
        <w:t>无恒产者无信用</w:t>
      </w:r>
      <w:r w:rsidRPr="00800D22">
        <w:rPr>
          <w:rFonts w:hint="eastAsia"/>
          <w:sz w:val="24"/>
        </w:rPr>
        <w:t>”</w:t>
      </w:r>
      <w:r w:rsidRPr="00800D22">
        <w:rPr>
          <w:sz w:val="24"/>
        </w:rPr>
        <w:t>。我国的信用缺失缘于产权的缺陷。目前我国的产权制度或市场主体的财产制度</w:t>
      </w:r>
      <w:r w:rsidRPr="00800D22">
        <w:rPr>
          <w:rFonts w:hint="eastAsia"/>
          <w:sz w:val="24"/>
        </w:rPr>
        <w:t>存在的问题</w:t>
      </w:r>
      <w:r w:rsidRPr="00800D22">
        <w:rPr>
          <w:sz w:val="24"/>
        </w:rPr>
        <w:t>是：</w:t>
      </w:r>
    </w:p>
    <w:p w14:paraId="1C5D6D72" w14:textId="77777777" w:rsidR="00650FBE" w:rsidRPr="00800D22" w:rsidRDefault="00650FBE" w:rsidP="00650FBE">
      <w:pPr>
        <w:spacing w:line="440" w:lineRule="exact"/>
        <w:ind w:firstLineChars="200" w:firstLine="480"/>
        <w:rPr>
          <w:sz w:val="24"/>
        </w:rPr>
      </w:pPr>
      <w:r w:rsidRPr="00800D22">
        <w:rPr>
          <w:sz w:val="24"/>
        </w:rPr>
        <w:t>（</w:t>
      </w:r>
      <w:r w:rsidRPr="00800D22">
        <w:rPr>
          <w:sz w:val="24"/>
        </w:rPr>
        <w:t>1</w:t>
      </w:r>
      <w:r w:rsidRPr="00800D22">
        <w:rPr>
          <w:sz w:val="24"/>
        </w:rPr>
        <w:t>）作为我国经济主体的国有企业和国有银行没有真正独立的财产。</w:t>
      </w:r>
    </w:p>
    <w:p w14:paraId="473C6DA7" w14:textId="77777777" w:rsidR="00650FBE" w:rsidRPr="00800D22" w:rsidRDefault="00650FBE" w:rsidP="00650FBE">
      <w:pPr>
        <w:spacing w:line="440" w:lineRule="exact"/>
        <w:ind w:firstLineChars="200" w:firstLine="480"/>
        <w:rPr>
          <w:sz w:val="24"/>
        </w:rPr>
      </w:pPr>
      <w:r w:rsidRPr="00800D22">
        <w:rPr>
          <w:sz w:val="24"/>
        </w:rPr>
        <w:t>（</w:t>
      </w:r>
      <w:r w:rsidRPr="00800D22">
        <w:rPr>
          <w:sz w:val="24"/>
        </w:rPr>
        <w:t>2</w:t>
      </w:r>
      <w:r w:rsidRPr="00800D22">
        <w:rPr>
          <w:sz w:val="24"/>
        </w:rPr>
        <w:t>）私营企业的财产权没有得到法律的平等保护和普遍的社会尊重。</w:t>
      </w:r>
    </w:p>
    <w:p w14:paraId="74478531" w14:textId="77777777" w:rsidR="00650FBE" w:rsidRPr="00800D22" w:rsidRDefault="00650FBE" w:rsidP="00650FBE">
      <w:pPr>
        <w:spacing w:line="440" w:lineRule="exact"/>
        <w:ind w:firstLineChars="200" w:firstLine="480"/>
        <w:rPr>
          <w:sz w:val="24"/>
        </w:rPr>
      </w:pPr>
      <w:r w:rsidRPr="00800D22">
        <w:rPr>
          <w:sz w:val="24"/>
        </w:rPr>
        <w:t>在我国实行高度集中的计划经济体制时期，信用制度主要表现为国家信用为主、居民与国家银行之间的存储关系为辅的信用关系，企业所有的信用活动都是在公有产权结构的框架下进行的，信用双方的利益由国家统一分配，经济关系（包括信用关系）由政府统一协调，所有国有企业的产、购、销完全由国家指令性计划安排，银行资金供应的规模、结构、期限及利率均由计划统一规定，金融体系是一个典型的政府财政主导型的</w:t>
      </w:r>
      <w:r w:rsidRPr="00800D22">
        <w:rPr>
          <w:rFonts w:hint="eastAsia"/>
          <w:sz w:val="24"/>
        </w:rPr>
        <w:t>“</w:t>
      </w:r>
      <w:r w:rsidRPr="00800D22">
        <w:rPr>
          <w:sz w:val="24"/>
        </w:rPr>
        <w:t>大一统</w:t>
      </w:r>
      <w:r w:rsidRPr="00800D22">
        <w:rPr>
          <w:rFonts w:hint="eastAsia"/>
          <w:sz w:val="24"/>
        </w:rPr>
        <w:t>”</w:t>
      </w:r>
      <w:r w:rsidRPr="00800D22">
        <w:rPr>
          <w:sz w:val="24"/>
        </w:rPr>
        <w:t>的银行体系。从上世纪</w:t>
      </w:r>
      <w:r w:rsidRPr="00800D22">
        <w:rPr>
          <w:sz w:val="24"/>
        </w:rPr>
        <w:t>80</w:t>
      </w:r>
      <w:r w:rsidRPr="00800D22">
        <w:rPr>
          <w:sz w:val="24"/>
        </w:rPr>
        <w:t>年代初起，我国开始了以放权让利为基本特征的经济体制改革，逐渐打破了高度集中统一的单一的国家产权结构，使国有微观经济主体获得了一定的剩余索取权和控制权，同时，非公有制经济也得到了长足发展。与此相适应，传统集权体制下的国家信用垄断格局也被逐渐打破，银行与企业的关系由过去的计划依附关系开始转向市场依附关系，从而使社会信用体系中的参与主体由国家信用一家独大逐步向国家信用、企业信用、银行信用</w:t>
      </w:r>
      <w:r w:rsidRPr="00800D22">
        <w:rPr>
          <w:rFonts w:hint="eastAsia"/>
          <w:sz w:val="24"/>
        </w:rPr>
        <w:t>和</w:t>
      </w:r>
      <w:r w:rsidRPr="00800D22">
        <w:rPr>
          <w:sz w:val="24"/>
        </w:rPr>
        <w:t>个人信用等多种信用主体形式并存转变。这一时期的信用关系呈现出以下特征：</w:t>
      </w:r>
    </w:p>
    <w:p w14:paraId="76CDADB8" w14:textId="77777777" w:rsidR="00650FBE" w:rsidRPr="00800D22" w:rsidRDefault="00650FBE" w:rsidP="00650FBE">
      <w:pPr>
        <w:spacing w:line="440" w:lineRule="exact"/>
        <w:ind w:firstLineChars="200" w:firstLine="480"/>
        <w:rPr>
          <w:sz w:val="24"/>
        </w:rPr>
      </w:pPr>
      <w:r w:rsidRPr="00800D22">
        <w:rPr>
          <w:sz w:val="24"/>
        </w:rPr>
        <w:t>（</w:t>
      </w:r>
      <w:r w:rsidRPr="00800D22">
        <w:rPr>
          <w:sz w:val="24"/>
        </w:rPr>
        <w:t>1</w:t>
      </w:r>
      <w:r w:rsidRPr="00800D22">
        <w:rPr>
          <w:sz w:val="24"/>
        </w:rPr>
        <w:t>）企业拥有了部分独立的投资决策权，但没有投资收益的剩余索取权</w:t>
      </w:r>
      <w:r w:rsidRPr="00800D22">
        <w:rPr>
          <w:rFonts w:hint="eastAsia"/>
          <w:sz w:val="24"/>
        </w:rPr>
        <w:t>。</w:t>
      </w:r>
      <w:r w:rsidRPr="00800D22">
        <w:rPr>
          <w:sz w:val="24"/>
        </w:rPr>
        <w:t>投资决策权的拥有使企业有了向银行贷款的便利，但无剩余索取权又使企业没有按期还贷的压力和追逐投资效益的动力。</w:t>
      </w:r>
    </w:p>
    <w:p w14:paraId="4B8E7509" w14:textId="77777777" w:rsidR="00650FBE" w:rsidRPr="00800D22" w:rsidRDefault="00650FBE" w:rsidP="00650FBE">
      <w:pPr>
        <w:spacing w:line="440" w:lineRule="exact"/>
        <w:ind w:firstLineChars="200" w:firstLine="480"/>
        <w:rPr>
          <w:sz w:val="24"/>
        </w:rPr>
      </w:pPr>
      <w:r w:rsidRPr="00800D22">
        <w:rPr>
          <w:sz w:val="24"/>
        </w:rPr>
        <w:lastRenderedPageBreak/>
        <w:t>（</w:t>
      </w:r>
      <w:r w:rsidRPr="00800D22">
        <w:rPr>
          <w:sz w:val="24"/>
        </w:rPr>
        <w:t>2</w:t>
      </w:r>
      <w:r w:rsidRPr="00800D22">
        <w:rPr>
          <w:sz w:val="24"/>
        </w:rPr>
        <w:t>）国有企业和国有商业银行成了名义上的独立法人，但国有的性质使它们并没有实质上的独立财产权。</w:t>
      </w:r>
    </w:p>
    <w:p w14:paraId="332CCA97" w14:textId="77777777" w:rsidR="00650FBE" w:rsidRPr="00800D22" w:rsidRDefault="00650FBE" w:rsidP="00650FBE">
      <w:pPr>
        <w:spacing w:line="440" w:lineRule="exact"/>
        <w:ind w:firstLineChars="200" w:firstLine="480"/>
        <w:rPr>
          <w:sz w:val="24"/>
        </w:rPr>
      </w:pPr>
      <w:r w:rsidRPr="00800D22">
        <w:rPr>
          <w:sz w:val="24"/>
        </w:rPr>
        <w:t>这一时期，产权不再如过去那样高度集中于政府，企业和个人在模糊的产权关系下，对产权有了一定的占有比例，市场的交易关系开始出现多元化，既有国家通过行政和政策性手段强制执行的信用交易（如要求国有商业银行向国有企业发放政策性贷款等），又有经济主体之间自主进行的信用交易。</w:t>
      </w:r>
    </w:p>
    <w:p w14:paraId="5864C10B" w14:textId="77777777" w:rsidR="00650FBE" w:rsidRPr="00800D22" w:rsidRDefault="00650FBE" w:rsidP="00650FBE">
      <w:pPr>
        <w:spacing w:line="440" w:lineRule="exact"/>
        <w:ind w:firstLineChars="200" w:firstLine="480"/>
        <w:rPr>
          <w:sz w:val="24"/>
        </w:rPr>
      </w:pPr>
      <w:r w:rsidRPr="00800D22">
        <w:rPr>
          <w:sz w:val="24"/>
        </w:rPr>
        <w:t>然而，</w:t>
      </w:r>
      <w:r w:rsidRPr="00800D22">
        <w:rPr>
          <w:rFonts w:hint="eastAsia"/>
          <w:sz w:val="24"/>
        </w:rPr>
        <w:t>在我国市场经济体制建立和完善之前，</w:t>
      </w:r>
      <w:r w:rsidRPr="00800D22">
        <w:rPr>
          <w:sz w:val="24"/>
        </w:rPr>
        <w:t>国有商业银行和国有企业都在一定程度上享有了部分自主权，但它们并没有成为真正的拥有财产权、自主经营、自负盈亏和自我发展的经济主体。它们的信用关系仍然在很大程度上受政府控制。由于没有独立的财产权，并且两者的财产权同属一个所有者</w:t>
      </w:r>
      <w:r w:rsidRPr="00800D22">
        <w:rPr>
          <w:rFonts w:hint="eastAsia"/>
          <w:sz w:val="24"/>
        </w:rPr>
        <w:t>——</w:t>
      </w:r>
      <w:r w:rsidRPr="00800D22">
        <w:rPr>
          <w:sz w:val="24"/>
        </w:rPr>
        <w:t>国家，二者与国家都是</w:t>
      </w:r>
      <w:r w:rsidRPr="00800D22">
        <w:rPr>
          <w:rFonts w:hint="eastAsia"/>
          <w:sz w:val="24"/>
        </w:rPr>
        <w:t>“</w:t>
      </w:r>
      <w:r w:rsidRPr="00800D22">
        <w:rPr>
          <w:sz w:val="24"/>
        </w:rPr>
        <w:t>委托</w:t>
      </w:r>
      <w:r w:rsidRPr="00800D22">
        <w:rPr>
          <w:sz w:val="24"/>
        </w:rPr>
        <w:t>—</w:t>
      </w:r>
      <w:r w:rsidRPr="00800D22">
        <w:rPr>
          <w:sz w:val="24"/>
        </w:rPr>
        <w:t>代理</w:t>
      </w:r>
      <w:r w:rsidRPr="00800D22">
        <w:rPr>
          <w:rFonts w:hint="eastAsia"/>
          <w:sz w:val="24"/>
        </w:rPr>
        <w:t>”</w:t>
      </w:r>
      <w:r w:rsidRPr="00800D22">
        <w:rPr>
          <w:sz w:val="24"/>
        </w:rPr>
        <w:t>关系，是同一利益主体的不同代理人。因此，国有银行和国有企业之间所形成的借贷关系是</w:t>
      </w:r>
      <w:r w:rsidRPr="00800D22" w:rsidDel="009F5B87">
        <w:rPr>
          <w:sz w:val="24"/>
        </w:rPr>
        <w:t xml:space="preserve"> </w:t>
      </w:r>
      <w:r w:rsidRPr="00800D22">
        <w:rPr>
          <w:rFonts w:hint="eastAsia"/>
          <w:sz w:val="24"/>
        </w:rPr>
        <w:t>“</w:t>
      </w:r>
      <w:r w:rsidRPr="00800D22">
        <w:rPr>
          <w:sz w:val="24"/>
        </w:rPr>
        <w:t>同一个所有者的内部交易</w:t>
      </w:r>
      <w:r w:rsidRPr="00800D22">
        <w:rPr>
          <w:rFonts w:hint="eastAsia"/>
          <w:sz w:val="24"/>
        </w:rPr>
        <w:t>”</w:t>
      </w:r>
      <w:r w:rsidRPr="00800D22">
        <w:rPr>
          <w:sz w:val="24"/>
        </w:rPr>
        <w:t>关系，自然是一种虚拟性的债权债务关系。在这种虚拟的债权债务关系中，它们并不具备履约的信誉和偿债能力以及对破产所负的财产责任，相互之间的信用关系也不可能是真正的具有排他性和所有权约束的信用关系，而没有产权的约束是不可能建立社会信用的。</w:t>
      </w:r>
    </w:p>
    <w:p w14:paraId="2C4EBA0F" w14:textId="77777777" w:rsidR="00650FBE" w:rsidRPr="00800D22" w:rsidRDefault="00650FBE" w:rsidP="00650FBE">
      <w:pPr>
        <w:spacing w:line="440" w:lineRule="exact"/>
        <w:ind w:firstLineChars="200" w:firstLine="480"/>
        <w:rPr>
          <w:sz w:val="24"/>
        </w:rPr>
      </w:pPr>
      <w:r w:rsidRPr="00800D22">
        <w:rPr>
          <w:sz w:val="24"/>
        </w:rPr>
        <w:t>按照古典经济学的观点，经济主体间的契约关系是一种完全的合同关系，双方都对交易对手的生产经营情况和未来预期收益了如指掌，交易双方都遵守规则，契约体现了双方的自由意志，如果发生纠纷，第三方可以完全强制执行合同，使债权人的利益得到保护。然而，尽管国有企业之间以及国有企业与国有银行之间签订了购销（赊销）合同和借贷合同，建立了名义上的契约关系，但是由于赊购赊销、借贷发生在同一产权主体</w:t>
      </w:r>
      <w:r w:rsidRPr="00800D22">
        <w:rPr>
          <w:rFonts w:hint="eastAsia"/>
          <w:sz w:val="24"/>
        </w:rPr>
        <w:t>——</w:t>
      </w:r>
      <w:r w:rsidRPr="00800D22">
        <w:rPr>
          <w:sz w:val="24"/>
        </w:rPr>
        <w:t>国家内部，法院的调解和仲裁就显得无能为力（因为此时政府的权利和法律的责任出现了重叠），只有由政府来对借贷双方或赊购赊销双方的利益进行协调，政府按照自身利益最大化的原则来处理财产纠纷，此时信用原则就退居第二。所以，正是由于这种产权制度的缺陷，使得国有企业与国有银行的财产的同质性使债权人和债务人关系变得模糊，真正意义上的信用交易行为并不存在。在</w:t>
      </w:r>
      <w:r w:rsidRPr="00800D22">
        <w:rPr>
          <w:rFonts w:hint="eastAsia"/>
          <w:sz w:val="24"/>
        </w:rPr>
        <w:t>“</w:t>
      </w:r>
      <w:r w:rsidRPr="00800D22">
        <w:rPr>
          <w:sz w:val="24"/>
        </w:rPr>
        <w:t>所有者缺位</w:t>
      </w:r>
      <w:r w:rsidRPr="00800D22">
        <w:rPr>
          <w:rFonts w:hint="eastAsia"/>
          <w:sz w:val="24"/>
        </w:rPr>
        <w:t>”</w:t>
      </w:r>
      <w:r w:rsidRPr="00800D22">
        <w:rPr>
          <w:sz w:val="24"/>
        </w:rPr>
        <w:t>的状态下，企业只是在内部人的控制下运转，国家承担着内部人和投资决策的风险；银行的资金提供给了不具备偿债能力的债务人，它意味着国有银行用信贷资金代替国家对国有企业进行注资</w:t>
      </w:r>
      <w:r w:rsidRPr="00800D22">
        <w:rPr>
          <w:rFonts w:hint="eastAsia"/>
          <w:sz w:val="24"/>
        </w:rPr>
        <w:t>。</w:t>
      </w:r>
      <w:r w:rsidRPr="00800D22">
        <w:rPr>
          <w:sz w:val="24"/>
        </w:rPr>
        <w:t>这种国家对国有企业的</w:t>
      </w:r>
      <w:r w:rsidRPr="00800D22">
        <w:rPr>
          <w:rFonts w:hint="eastAsia"/>
          <w:sz w:val="24"/>
        </w:rPr>
        <w:t>“</w:t>
      </w:r>
      <w:r w:rsidRPr="00800D22">
        <w:rPr>
          <w:sz w:val="24"/>
        </w:rPr>
        <w:t>变相补贴</w:t>
      </w:r>
      <w:r w:rsidRPr="00800D22">
        <w:rPr>
          <w:rFonts w:hint="eastAsia"/>
          <w:sz w:val="24"/>
        </w:rPr>
        <w:t>”</w:t>
      </w:r>
      <w:r w:rsidRPr="00800D22">
        <w:rPr>
          <w:sz w:val="24"/>
        </w:rPr>
        <w:t>造成了企业的软约束，最终导致了两种后果：一是无法培育真正的企业竞争机制。企业赖账不还，无限期的拖欠银行债务，最</w:t>
      </w:r>
      <w:r w:rsidRPr="00800D22">
        <w:rPr>
          <w:sz w:val="24"/>
        </w:rPr>
        <w:lastRenderedPageBreak/>
        <w:t>终坏账被核销，滋生了企业的随意违约、毁约、赖账</w:t>
      </w:r>
      <w:r w:rsidRPr="00800D22">
        <w:rPr>
          <w:rFonts w:hint="eastAsia"/>
          <w:sz w:val="24"/>
        </w:rPr>
        <w:t>和</w:t>
      </w:r>
      <w:r w:rsidRPr="00800D22">
        <w:rPr>
          <w:sz w:val="24"/>
        </w:rPr>
        <w:t>废债的</w:t>
      </w:r>
      <w:proofErr w:type="gramStart"/>
      <w:r w:rsidRPr="00800D22">
        <w:rPr>
          <w:sz w:val="24"/>
        </w:rPr>
        <w:t>违信行为</w:t>
      </w:r>
      <w:proofErr w:type="gramEnd"/>
      <w:r w:rsidRPr="00800D22">
        <w:rPr>
          <w:sz w:val="24"/>
        </w:rPr>
        <w:t>。二是会最终破坏全社会的商业信用。由于企业赖账行为的相互释放，企业间的债务演变成一种非正常的债务链，这种非正常生成或人为造成的赖账机制，在全社会的银行与企业、企业与企业、企业与客户间蔓延开来，最终破坏了全社会的商业信用。可见，在现行的产权制度中，难以存在真正的严格按期还本付息的信用准则，也难以建立真正规范化的信用关系。因此，许多国企管理者认为，企业是国家的企业，银行是国家的银行，不贷白不贷。甚至许多政府官员也认为：国有银行有</w:t>
      </w:r>
      <w:r w:rsidRPr="00800D22">
        <w:rPr>
          <w:rFonts w:hint="eastAsia"/>
          <w:sz w:val="24"/>
        </w:rPr>
        <w:t>支持</w:t>
      </w:r>
      <w:r w:rsidRPr="00800D22">
        <w:rPr>
          <w:sz w:val="24"/>
        </w:rPr>
        <w:t>国企的义务。于是，国有商业银行身不由己，既要为政府部门出政绩贷款，又要为维护安定团结对困难企业放贷。另一方面，作为最大债权人的国有商业银行，也因不明确的产权关系，养成了吃大锅饭的思想，缺乏控制信贷风险的动力和主张债权的积极性。产权不明，造成政企不分、</w:t>
      </w:r>
      <w:proofErr w:type="gramStart"/>
      <w:r w:rsidRPr="00800D22">
        <w:rPr>
          <w:sz w:val="24"/>
        </w:rPr>
        <w:t>政银不分</w:t>
      </w:r>
      <w:proofErr w:type="gramEnd"/>
      <w:r w:rsidRPr="00800D22">
        <w:rPr>
          <w:sz w:val="24"/>
        </w:rPr>
        <w:t>，进而造成了银企信用关系的扭曲。所以，从根本上说，以前我国银行的巨额不良资产和企业的高额债务、企业之间的</w:t>
      </w:r>
      <w:r w:rsidRPr="00800D22">
        <w:rPr>
          <w:rFonts w:hint="eastAsia"/>
          <w:sz w:val="24"/>
        </w:rPr>
        <w:t>“</w:t>
      </w:r>
      <w:r w:rsidRPr="00800D22">
        <w:rPr>
          <w:sz w:val="24"/>
        </w:rPr>
        <w:t>三角债</w:t>
      </w:r>
      <w:r w:rsidRPr="00800D22">
        <w:rPr>
          <w:rFonts w:hint="eastAsia"/>
          <w:sz w:val="24"/>
        </w:rPr>
        <w:t>”</w:t>
      </w:r>
      <w:r w:rsidRPr="00800D22">
        <w:rPr>
          <w:sz w:val="24"/>
        </w:rPr>
        <w:t>等失信问题的存在都是由产权缺陷所致。</w:t>
      </w:r>
    </w:p>
    <w:p w14:paraId="63449CFA" w14:textId="77777777" w:rsidR="00650FBE" w:rsidRPr="00800D22" w:rsidRDefault="00650FBE" w:rsidP="00650FBE">
      <w:pPr>
        <w:spacing w:line="440" w:lineRule="exact"/>
        <w:ind w:firstLineChars="200" w:firstLine="480"/>
        <w:rPr>
          <w:rFonts w:hint="eastAsia"/>
          <w:sz w:val="24"/>
        </w:rPr>
      </w:pPr>
      <w:r w:rsidRPr="00800D22">
        <w:rPr>
          <w:sz w:val="24"/>
        </w:rPr>
        <w:t>在向市场经济转轨的过程中，我国大量的民营企业和个体工商户迅速崛起，成为我国国民经济的重要组成部分，同时也是失信大军中的主体之一。非公经济主体信用缺失，除了国有企业和地方政府的示范效应等原因外，根本原因</w:t>
      </w:r>
      <w:r w:rsidRPr="00800D22">
        <w:rPr>
          <w:rFonts w:hint="eastAsia"/>
          <w:sz w:val="24"/>
        </w:rPr>
        <w:t>在于</w:t>
      </w:r>
      <w:r w:rsidRPr="00800D22">
        <w:rPr>
          <w:sz w:val="24"/>
        </w:rPr>
        <w:t>长期以来，我国私有财产没有得到有效的法律保护，私有产权制度的不确定，使非公经济主体对其财产权没有信心，从而不能形成追求长期利益的稳定预期，</w:t>
      </w:r>
      <w:r w:rsidRPr="00800D22">
        <w:rPr>
          <w:rFonts w:hint="eastAsia"/>
          <w:sz w:val="24"/>
        </w:rPr>
        <w:t>导致</w:t>
      </w:r>
      <w:r w:rsidRPr="00800D22">
        <w:rPr>
          <w:sz w:val="24"/>
        </w:rPr>
        <w:t>追求不讲信用的短期行为和一锤子买卖成了他们的选择。也正因为没有明确的产权制度和独立的财产，经济主体既没有真正的能力讲信用，也没有动力守信用（市场主体并不因为守信用而得到</w:t>
      </w:r>
      <w:r w:rsidRPr="00800D22">
        <w:rPr>
          <w:rFonts w:hint="eastAsia"/>
          <w:sz w:val="24"/>
        </w:rPr>
        <w:t>回报</w:t>
      </w:r>
      <w:r w:rsidRPr="00800D22">
        <w:rPr>
          <w:sz w:val="24"/>
        </w:rPr>
        <w:t>）和内在压力守信用（市场主体并不因为</w:t>
      </w:r>
      <w:r w:rsidRPr="00800D22">
        <w:rPr>
          <w:rFonts w:hint="eastAsia"/>
          <w:sz w:val="24"/>
        </w:rPr>
        <w:t>不</w:t>
      </w:r>
      <w:r w:rsidRPr="00800D22">
        <w:rPr>
          <w:sz w:val="24"/>
        </w:rPr>
        <w:t>守信用而得到</w:t>
      </w:r>
      <w:r w:rsidRPr="00800D22">
        <w:rPr>
          <w:rFonts w:hint="eastAsia"/>
          <w:sz w:val="24"/>
        </w:rPr>
        <w:t>应有的惩罚</w:t>
      </w:r>
      <w:r w:rsidRPr="00800D22">
        <w:rPr>
          <w:sz w:val="24"/>
        </w:rPr>
        <w:t>），加上缺乏有效的外在信用约束机制，失信便成为非公经济主体的一种普遍行为。所以，张维迎说：</w:t>
      </w:r>
      <w:r w:rsidRPr="00800D22">
        <w:rPr>
          <w:rFonts w:hint="eastAsia"/>
          <w:sz w:val="24"/>
        </w:rPr>
        <w:t>“</w:t>
      </w:r>
      <w:r w:rsidRPr="00800D22">
        <w:rPr>
          <w:sz w:val="24"/>
        </w:rPr>
        <w:t>产权是信誉的基础，明晰的产权是人们追求长远利益的动力，只有追求长远利益的人才会讲求信誉</w:t>
      </w:r>
      <w:r w:rsidRPr="00800D22">
        <w:rPr>
          <w:rFonts w:hint="eastAsia"/>
          <w:sz w:val="24"/>
        </w:rPr>
        <w:t>”</w:t>
      </w:r>
      <w:r w:rsidRPr="00800D22">
        <w:rPr>
          <w:sz w:val="24"/>
        </w:rPr>
        <w:t>。</w:t>
      </w:r>
      <w:r w:rsidRPr="00800D22">
        <w:rPr>
          <w:rFonts w:hint="eastAsia"/>
          <w:sz w:val="24"/>
        </w:rPr>
        <w:t>“</w:t>
      </w:r>
      <w:r w:rsidRPr="00800D22">
        <w:rPr>
          <w:sz w:val="24"/>
        </w:rPr>
        <w:t>毁坏了信誉的产权基础，限制了自由竞争，必然导致市场秩序混乱，坑蒙拐骗盛行</w:t>
      </w:r>
      <w:r w:rsidRPr="00800D22">
        <w:rPr>
          <w:rFonts w:hint="eastAsia"/>
          <w:sz w:val="24"/>
        </w:rPr>
        <w:t>”</w:t>
      </w:r>
      <w:r w:rsidRPr="00800D22">
        <w:rPr>
          <w:sz w:val="24"/>
        </w:rPr>
        <w:t>。</w:t>
      </w:r>
      <w:r w:rsidRPr="00800D22">
        <w:rPr>
          <w:rStyle w:val="af4"/>
          <w:sz w:val="24"/>
        </w:rPr>
        <w:footnoteReference w:id="1"/>
      </w:r>
    </w:p>
    <w:p w14:paraId="5038B7E2" w14:textId="77777777" w:rsidR="008D0AC4" w:rsidRPr="00650FBE" w:rsidRDefault="008D0AC4">
      <w:pPr>
        <w:rPr>
          <w:rFonts w:hint="eastAsia"/>
        </w:rPr>
      </w:pPr>
    </w:p>
    <w:sectPr w:rsidR="008D0AC4" w:rsidRPr="00650F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DF04F" w14:textId="77777777" w:rsidR="00993C55" w:rsidRDefault="00993C55" w:rsidP="00650FBE">
      <w:pPr>
        <w:rPr>
          <w:rFonts w:hint="eastAsia"/>
        </w:rPr>
      </w:pPr>
      <w:r>
        <w:separator/>
      </w:r>
    </w:p>
  </w:endnote>
  <w:endnote w:type="continuationSeparator" w:id="0">
    <w:p w14:paraId="5F3FC2D8" w14:textId="77777777" w:rsidR="00993C55" w:rsidRDefault="00993C55" w:rsidP="00650FB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FCFD6" w14:textId="77777777" w:rsidR="00993C55" w:rsidRDefault="00993C55" w:rsidP="00650FBE">
      <w:pPr>
        <w:rPr>
          <w:rFonts w:hint="eastAsia"/>
        </w:rPr>
      </w:pPr>
      <w:r>
        <w:separator/>
      </w:r>
    </w:p>
  </w:footnote>
  <w:footnote w:type="continuationSeparator" w:id="0">
    <w:p w14:paraId="488067FE" w14:textId="77777777" w:rsidR="00993C55" w:rsidRDefault="00993C55" w:rsidP="00650FBE">
      <w:pPr>
        <w:rPr>
          <w:rFonts w:hint="eastAsia"/>
        </w:rPr>
      </w:pPr>
      <w:r>
        <w:continuationSeparator/>
      </w:r>
    </w:p>
  </w:footnote>
  <w:footnote w:id="1">
    <w:p w14:paraId="5A470041" w14:textId="77777777" w:rsidR="00650FBE" w:rsidRDefault="00650FBE" w:rsidP="00650FBE">
      <w:pPr>
        <w:pStyle w:val="af2"/>
        <w:rPr>
          <w:rFonts w:hint="eastAsia"/>
        </w:rPr>
      </w:pPr>
      <w:r>
        <w:rPr>
          <w:rStyle w:val="af4"/>
        </w:rPr>
        <w:footnoteRef/>
      </w:r>
      <w:r>
        <w:rPr>
          <w:rFonts w:eastAsia="新宋体" w:hint="eastAsia"/>
          <w:kern w:val="0"/>
          <w:szCs w:val="21"/>
        </w:rPr>
        <w:t xml:space="preserve"> </w:t>
      </w:r>
      <w:r w:rsidRPr="00650B44">
        <w:rPr>
          <w:rFonts w:eastAsia="新宋体"/>
          <w:kern w:val="0"/>
          <w:szCs w:val="21"/>
        </w:rPr>
        <w:t>张维迎</w:t>
      </w:r>
      <w:r w:rsidRPr="00650B44">
        <w:rPr>
          <w:rFonts w:eastAsia="新宋体"/>
          <w:kern w:val="0"/>
          <w:szCs w:val="21"/>
        </w:rPr>
        <w:t xml:space="preserve">. </w:t>
      </w:r>
      <w:r w:rsidRPr="00650B44">
        <w:rPr>
          <w:rFonts w:eastAsia="新宋体"/>
          <w:kern w:val="0"/>
          <w:szCs w:val="21"/>
        </w:rPr>
        <w:t>产权、政府与信誉</w:t>
      </w:r>
      <w:r w:rsidRPr="00B163EF">
        <w:rPr>
          <w:rFonts w:eastAsia="新宋体"/>
          <w:kern w:val="0"/>
          <w:szCs w:val="21"/>
        </w:rPr>
        <w:t>[M]</w:t>
      </w:r>
      <w:r w:rsidRPr="00650B44">
        <w:rPr>
          <w:rFonts w:eastAsia="新宋体"/>
          <w:kern w:val="0"/>
          <w:szCs w:val="21"/>
        </w:rPr>
        <w:t>，上海：三联书店，</w:t>
      </w:r>
      <w:r w:rsidRPr="00650B44">
        <w:rPr>
          <w:rFonts w:eastAsia="新宋体"/>
          <w:kern w:val="0"/>
          <w:szCs w:val="21"/>
        </w:rPr>
        <w:t>2001</w:t>
      </w:r>
      <w:r w:rsidRPr="00650B44">
        <w:rPr>
          <w:rFonts w:eastAsia="新宋体"/>
          <w:kern w:val="0"/>
          <w:szCs w:val="21"/>
        </w:rPr>
        <w:t>，</w:t>
      </w:r>
      <w:r w:rsidRPr="00650B44">
        <w:rPr>
          <w:rFonts w:eastAsia="新宋体"/>
          <w:kern w:val="0"/>
          <w:szCs w:val="21"/>
        </w:rPr>
        <w:t>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F0C"/>
    <w:rsid w:val="001229D8"/>
    <w:rsid w:val="001B4656"/>
    <w:rsid w:val="0025005C"/>
    <w:rsid w:val="0026744F"/>
    <w:rsid w:val="00341F2B"/>
    <w:rsid w:val="00650FBE"/>
    <w:rsid w:val="0072271E"/>
    <w:rsid w:val="008D0AC4"/>
    <w:rsid w:val="00993C55"/>
    <w:rsid w:val="00DB1227"/>
    <w:rsid w:val="00F24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84A5C"/>
  <w15:chartTrackingRefBased/>
  <w15:docId w15:val="{072818D8-B1C4-4BD3-932D-FC34EA65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FBE"/>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F24F0C"/>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F24F0C"/>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F24F0C"/>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F24F0C"/>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F24F0C"/>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F24F0C"/>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F24F0C"/>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F24F0C"/>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F24F0C"/>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4F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4F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4F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4F0C"/>
    <w:rPr>
      <w:rFonts w:cstheme="majorBidi"/>
      <w:color w:val="2F5496" w:themeColor="accent1" w:themeShade="BF"/>
      <w:sz w:val="28"/>
      <w:szCs w:val="28"/>
    </w:rPr>
  </w:style>
  <w:style w:type="character" w:customStyle="1" w:styleId="50">
    <w:name w:val="标题 5 字符"/>
    <w:basedOn w:val="a0"/>
    <w:link w:val="5"/>
    <w:uiPriority w:val="9"/>
    <w:semiHidden/>
    <w:rsid w:val="00F24F0C"/>
    <w:rPr>
      <w:rFonts w:cstheme="majorBidi"/>
      <w:color w:val="2F5496" w:themeColor="accent1" w:themeShade="BF"/>
      <w:sz w:val="24"/>
    </w:rPr>
  </w:style>
  <w:style w:type="character" w:customStyle="1" w:styleId="60">
    <w:name w:val="标题 6 字符"/>
    <w:basedOn w:val="a0"/>
    <w:link w:val="6"/>
    <w:uiPriority w:val="9"/>
    <w:semiHidden/>
    <w:rsid w:val="00F24F0C"/>
    <w:rPr>
      <w:rFonts w:cstheme="majorBidi"/>
      <w:b/>
      <w:bCs/>
      <w:color w:val="2F5496" w:themeColor="accent1" w:themeShade="BF"/>
    </w:rPr>
  </w:style>
  <w:style w:type="character" w:customStyle="1" w:styleId="70">
    <w:name w:val="标题 7 字符"/>
    <w:basedOn w:val="a0"/>
    <w:link w:val="7"/>
    <w:uiPriority w:val="9"/>
    <w:semiHidden/>
    <w:rsid w:val="00F24F0C"/>
    <w:rPr>
      <w:rFonts w:cstheme="majorBidi"/>
      <w:b/>
      <w:bCs/>
      <w:color w:val="595959" w:themeColor="text1" w:themeTint="A6"/>
    </w:rPr>
  </w:style>
  <w:style w:type="character" w:customStyle="1" w:styleId="80">
    <w:name w:val="标题 8 字符"/>
    <w:basedOn w:val="a0"/>
    <w:link w:val="8"/>
    <w:uiPriority w:val="9"/>
    <w:semiHidden/>
    <w:rsid w:val="00F24F0C"/>
    <w:rPr>
      <w:rFonts w:cstheme="majorBidi"/>
      <w:color w:val="595959" w:themeColor="text1" w:themeTint="A6"/>
    </w:rPr>
  </w:style>
  <w:style w:type="character" w:customStyle="1" w:styleId="90">
    <w:name w:val="标题 9 字符"/>
    <w:basedOn w:val="a0"/>
    <w:link w:val="9"/>
    <w:uiPriority w:val="9"/>
    <w:semiHidden/>
    <w:rsid w:val="00F24F0C"/>
    <w:rPr>
      <w:rFonts w:eastAsiaTheme="majorEastAsia" w:cstheme="majorBidi"/>
      <w:color w:val="595959" w:themeColor="text1" w:themeTint="A6"/>
    </w:rPr>
  </w:style>
  <w:style w:type="paragraph" w:styleId="a3">
    <w:name w:val="Title"/>
    <w:basedOn w:val="a"/>
    <w:next w:val="a"/>
    <w:link w:val="a4"/>
    <w:uiPriority w:val="10"/>
    <w:qFormat/>
    <w:rsid w:val="00F24F0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F24F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4F0C"/>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F24F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4F0C"/>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F24F0C"/>
    <w:rPr>
      <w:i/>
      <w:iCs/>
      <w:color w:val="404040" w:themeColor="text1" w:themeTint="BF"/>
    </w:rPr>
  </w:style>
  <w:style w:type="paragraph" w:styleId="a9">
    <w:name w:val="List Paragraph"/>
    <w:basedOn w:val="a"/>
    <w:uiPriority w:val="34"/>
    <w:qFormat/>
    <w:rsid w:val="00F24F0C"/>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F24F0C"/>
    <w:rPr>
      <w:i/>
      <w:iCs/>
      <w:color w:val="2F5496" w:themeColor="accent1" w:themeShade="BF"/>
    </w:rPr>
  </w:style>
  <w:style w:type="paragraph" w:styleId="ab">
    <w:name w:val="Intense Quote"/>
    <w:basedOn w:val="a"/>
    <w:next w:val="a"/>
    <w:link w:val="ac"/>
    <w:uiPriority w:val="30"/>
    <w:qFormat/>
    <w:rsid w:val="00F24F0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F24F0C"/>
    <w:rPr>
      <w:i/>
      <w:iCs/>
      <w:color w:val="2F5496" w:themeColor="accent1" w:themeShade="BF"/>
    </w:rPr>
  </w:style>
  <w:style w:type="character" w:styleId="ad">
    <w:name w:val="Intense Reference"/>
    <w:basedOn w:val="a0"/>
    <w:uiPriority w:val="32"/>
    <w:qFormat/>
    <w:rsid w:val="00F24F0C"/>
    <w:rPr>
      <w:b/>
      <w:bCs/>
      <w:smallCaps/>
      <w:color w:val="2F5496" w:themeColor="accent1" w:themeShade="BF"/>
      <w:spacing w:val="5"/>
    </w:rPr>
  </w:style>
  <w:style w:type="paragraph" w:styleId="ae">
    <w:name w:val="header"/>
    <w:basedOn w:val="a"/>
    <w:link w:val="af"/>
    <w:uiPriority w:val="99"/>
    <w:unhideWhenUsed/>
    <w:rsid w:val="00650FBE"/>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650FBE"/>
    <w:rPr>
      <w:sz w:val="18"/>
      <w:szCs w:val="18"/>
    </w:rPr>
  </w:style>
  <w:style w:type="paragraph" w:styleId="af0">
    <w:name w:val="footer"/>
    <w:basedOn w:val="a"/>
    <w:link w:val="af1"/>
    <w:uiPriority w:val="99"/>
    <w:unhideWhenUsed/>
    <w:rsid w:val="00650FBE"/>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650FBE"/>
    <w:rPr>
      <w:sz w:val="18"/>
      <w:szCs w:val="18"/>
    </w:rPr>
  </w:style>
  <w:style w:type="paragraph" w:styleId="af2">
    <w:name w:val="footnote text"/>
    <w:basedOn w:val="a"/>
    <w:link w:val="Char"/>
    <w:semiHidden/>
    <w:rsid w:val="00650FBE"/>
    <w:pPr>
      <w:snapToGrid w:val="0"/>
      <w:jc w:val="left"/>
    </w:pPr>
    <w:rPr>
      <w:sz w:val="18"/>
      <w:szCs w:val="18"/>
    </w:rPr>
  </w:style>
  <w:style w:type="character" w:customStyle="1" w:styleId="af3">
    <w:name w:val="脚注文本 字符"/>
    <w:basedOn w:val="a0"/>
    <w:uiPriority w:val="99"/>
    <w:semiHidden/>
    <w:rsid w:val="00650FBE"/>
    <w:rPr>
      <w:rFonts w:ascii="Times New Roman" w:eastAsia="宋体" w:hAnsi="Times New Roman" w:cs="Times New Roman"/>
      <w:sz w:val="18"/>
      <w:szCs w:val="18"/>
      <w14:ligatures w14:val="none"/>
    </w:rPr>
  </w:style>
  <w:style w:type="character" w:customStyle="1" w:styleId="Char">
    <w:name w:val="脚注文本 Char"/>
    <w:link w:val="af2"/>
    <w:semiHidden/>
    <w:rsid w:val="00650FBE"/>
    <w:rPr>
      <w:rFonts w:ascii="Times New Roman" w:eastAsia="宋体" w:hAnsi="Times New Roman" w:cs="Times New Roman"/>
      <w:sz w:val="18"/>
      <w:szCs w:val="18"/>
      <w14:ligatures w14:val="none"/>
    </w:rPr>
  </w:style>
  <w:style w:type="character" w:styleId="af4">
    <w:name w:val="footnote reference"/>
    <w:semiHidden/>
    <w:rsid w:val="00650F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nomercy</dc:creator>
  <cp:keywords/>
  <dc:description/>
  <cp:lastModifiedBy>charles nomercy</cp:lastModifiedBy>
  <cp:revision>2</cp:revision>
  <dcterms:created xsi:type="dcterms:W3CDTF">2025-10-21T07:35:00Z</dcterms:created>
  <dcterms:modified xsi:type="dcterms:W3CDTF">2025-10-21T07:36:00Z</dcterms:modified>
</cp:coreProperties>
</file>