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6D89" w14:textId="5E6653AF" w:rsidR="00FB021F" w:rsidRPr="00800D22" w:rsidRDefault="00FB021F" w:rsidP="00FB021F">
      <w:pPr>
        <w:spacing w:beforeLines="50" w:before="156" w:afterLines="50" w:after="156" w:line="440" w:lineRule="exact"/>
        <w:jc w:val="center"/>
        <w:outlineLvl w:val="1"/>
        <w:rPr>
          <w:rFonts w:ascii="黑体" w:eastAsia="黑体"/>
          <w:bCs/>
          <w:sz w:val="32"/>
          <w:szCs w:val="32"/>
        </w:rPr>
      </w:pPr>
      <w:bookmarkStart w:id="0" w:name="_Toc243383339"/>
      <w:bookmarkStart w:id="1" w:name="_Toc256506345"/>
      <w:r w:rsidRPr="00800D22">
        <w:rPr>
          <w:rFonts w:ascii="黑体" w:eastAsia="黑体"/>
          <w:bCs/>
          <w:sz w:val="32"/>
          <w:szCs w:val="32"/>
        </w:rPr>
        <w:t>完善资产证券化增信体系的</w:t>
      </w:r>
      <w:bookmarkEnd w:id="0"/>
      <w:bookmarkEnd w:id="1"/>
      <w:r>
        <w:rPr>
          <w:rFonts w:ascii="黑体" w:eastAsia="黑体" w:hint="eastAsia"/>
          <w:bCs/>
          <w:sz w:val="32"/>
          <w:szCs w:val="32"/>
        </w:rPr>
        <w:t>政策建议</w:t>
      </w:r>
    </w:p>
    <w:p w14:paraId="164C9849" w14:textId="77777777" w:rsidR="00FB021F" w:rsidRDefault="00FB021F" w:rsidP="00FB021F">
      <w:pPr>
        <w:spacing w:beforeLines="50" w:before="156" w:afterLines="50" w:after="156" w:line="440" w:lineRule="exact"/>
        <w:ind w:firstLineChars="200" w:firstLine="640"/>
        <w:outlineLvl w:val="1"/>
        <w:rPr>
          <w:rFonts w:ascii="黑体" w:eastAsia="黑体"/>
          <w:bCs/>
          <w:sz w:val="32"/>
          <w:szCs w:val="32"/>
        </w:rPr>
      </w:pPr>
    </w:p>
    <w:p w14:paraId="24AD14EE" w14:textId="1089ECC2" w:rsidR="00FB021F" w:rsidRPr="00800D22" w:rsidRDefault="00FB021F" w:rsidP="00FB021F">
      <w:pPr>
        <w:spacing w:beforeLines="50" w:before="156" w:afterLines="50" w:after="156" w:line="440" w:lineRule="exact"/>
        <w:ind w:firstLineChars="200" w:firstLine="640"/>
        <w:outlineLvl w:val="1"/>
        <w:rPr>
          <w:rFonts w:ascii="黑体" w:eastAsia="黑体"/>
          <w:bCs/>
          <w:sz w:val="32"/>
          <w:szCs w:val="32"/>
        </w:rPr>
      </w:pPr>
      <w:r>
        <w:rPr>
          <w:rFonts w:ascii="黑体" w:eastAsia="黑体" w:hint="eastAsia"/>
          <w:bCs/>
          <w:sz w:val="32"/>
          <w:szCs w:val="32"/>
        </w:rPr>
        <w:t>一、</w:t>
      </w:r>
      <w:r w:rsidRPr="00800D22">
        <w:rPr>
          <w:rFonts w:ascii="黑体" w:eastAsia="黑体"/>
          <w:bCs/>
          <w:sz w:val="32"/>
          <w:szCs w:val="32"/>
        </w:rPr>
        <w:t>完善资产证券化增信体系的必要性</w:t>
      </w:r>
    </w:p>
    <w:p w14:paraId="0161EB54" w14:textId="7188632E" w:rsidR="00FB021F" w:rsidRPr="00800D22" w:rsidRDefault="00FB021F" w:rsidP="00FB021F">
      <w:pPr>
        <w:autoSpaceDE w:val="0"/>
        <w:autoSpaceDN w:val="0"/>
        <w:spacing w:line="440" w:lineRule="exact"/>
        <w:ind w:firstLineChars="200" w:firstLine="480"/>
        <w:jc w:val="left"/>
        <w:rPr>
          <w:kern w:val="0"/>
          <w:sz w:val="24"/>
        </w:rPr>
      </w:pPr>
      <w:r w:rsidRPr="00800D22">
        <w:rPr>
          <w:kern w:val="0"/>
          <w:sz w:val="24"/>
        </w:rPr>
        <w:t>从表</w:t>
      </w:r>
      <w:r w:rsidRPr="00800D22">
        <w:rPr>
          <w:rFonts w:hint="eastAsia"/>
          <w:kern w:val="0"/>
          <w:sz w:val="24"/>
        </w:rPr>
        <w:t>1</w:t>
      </w:r>
      <w:r w:rsidRPr="00800D22">
        <w:rPr>
          <w:kern w:val="0"/>
          <w:sz w:val="24"/>
        </w:rPr>
        <w:t>中可以看到，目前我国资产证券化的增信方式较为单一，限制了资产证券化的发展。具体来看，金融机构资产支持证券以内部增信为主，</w:t>
      </w:r>
      <w:r w:rsidRPr="00800D22">
        <w:rPr>
          <w:rFonts w:hint="eastAsia"/>
          <w:kern w:val="0"/>
          <w:sz w:val="24"/>
        </w:rPr>
        <w:t>主要</w:t>
      </w:r>
      <w:r w:rsidRPr="00800D22">
        <w:rPr>
          <w:kern w:val="0"/>
          <w:sz w:val="24"/>
        </w:rPr>
        <w:t>是采用了优先级</w:t>
      </w:r>
      <w:r w:rsidRPr="00800D22">
        <w:rPr>
          <w:kern w:val="0"/>
          <w:sz w:val="24"/>
        </w:rPr>
        <w:t>/</w:t>
      </w:r>
      <w:r w:rsidRPr="00800D22">
        <w:rPr>
          <w:kern w:val="0"/>
          <w:sz w:val="24"/>
        </w:rPr>
        <w:t>次级结构，即将资产证券化产品分层设计，以次级债券来实现优先债券的增信；而对于非金融机构来说，除采用优先级</w:t>
      </w:r>
      <w:r w:rsidRPr="00800D22">
        <w:rPr>
          <w:kern w:val="0"/>
          <w:sz w:val="24"/>
        </w:rPr>
        <w:t>/</w:t>
      </w:r>
      <w:r w:rsidRPr="00800D22">
        <w:rPr>
          <w:kern w:val="0"/>
          <w:sz w:val="24"/>
        </w:rPr>
        <w:t>次级结构之外，第三方担保也是资产证券化产品增信的重要手段，担保方主要为银行，</w:t>
      </w:r>
      <w:r w:rsidRPr="00800D22">
        <w:rPr>
          <w:rFonts w:hint="eastAsia"/>
          <w:kern w:val="0"/>
          <w:sz w:val="24"/>
        </w:rPr>
        <w:t>但是</w:t>
      </w:r>
      <w:r w:rsidRPr="00800D22">
        <w:rPr>
          <w:kern w:val="0"/>
          <w:sz w:val="24"/>
        </w:rPr>
        <w:t>自中国银行业监督管理委员会叫停银行担保之后，企业专项资产证券化便陷入了停滞状态。</w:t>
      </w:r>
    </w:p>
    <w:p w14:paraId="649D0EED" w14:textId="4C942167" w:rsidR="00FB021F" w:rsidRPr="00800D22" w:rsidRDefault="00FB021F" w:rsidP="00FB021F">
      <w:pPr>
        <w:autoSpaceDE w:val="0"/>
        <w:autoSpaceDN w:val="0"/>
        <w:spacing w:line="440" w:lineRule="exact"/>
        <w:ind w:firstLineChars="200" w:firstLine="480"/>
        <w:jc w:val="left"/>
        <w:rPr>
          <w:kern w:val="0"/>
          <w:sz w:val="24"/>
        </w:rPr>
      </w:pPr>
      <w:r w:rsidRPr="00800D22">
        <w:rPr>
          <w:rFonts w:hint="eastAsia"/>
          <w:kern w:val="0"/>
          <w:sz w:val="24"/>
        </w:rPr>
        <w:t>由于</w:t>
      </w:r>
      <w:r w:rsidRPr="00800D22">
        <w:rPr>
          <w:kern w:val="0"/>
          <w:sz w:val="24"/>
        </w:rPr>
        <w:t>增信有效地预防了支付的风险，另外加上这些企业或金融机构本身的入池资产基本上是正常</w:t>
      </w:r>
      <w:r w:rsidRPr="00800D22">
        <w:rPr>
          <w:rFonts w:hint="eastAsia"/>
          <w:kern w:val="0"/>
          <w:sz w:val="24"/>
        </w:rPr>
        <w:t>和</w:t>
      </w:r>
      <w:r w:rsidRPr="00800D22">
        <w:rPr>
          <w:kern w:val="0"/>
          <w:sz w:val="24"/>
        </w:rPr>
        <w:t>优良资产，所获</w:t>
      </w:r>
      <w:r w:rsidRPr="00800D22">
        <w:rPr>
          <w:rFonts w:hint="eastAsia"/>
          <w:kern w:val="0"/>
          <w:sz w:val="24"/>
        </w:rPr>
        <w:t>信用等级</w:t>
      </w:r>
      <w:r w:rsidRPr="00800D22">
        <w:rPr>
          <w:kern w:val="0"/>
          <w:sz w:val="24"/>
        </w:rPr>
        <w:t>较高，故这些资产证券化产品发行都获得成功。但在成功发行的背后应该看到我国资产证券化产品在增信方面的不足</w:t>
      </w:r>
      <w:r w:rsidRPr="00800D22">
        <w:rPr>
          <w:rFonts w:hint="eastAsia"/>
          <w:kern w:val="0"/>
          <w:sz w:val="24"/>
        </w:rPr>
        <w:t>。</w:t>
      </w:r>
      <w:r w:rsidRPr="00800D22">
        <w:rPr>
          <w:kern w:val="0"/>
          <w:sz w:val="24"/>
        </w:rPr>
        <w:t>笔者认为应在资产证券化增信中大胆采纳国外经验，并且通过内外增信的</w:t>
      </w:r>
      <w:r w:rsidRPr="00800D22">
        <w:rPr>
          <w:rFonts w:hint="eastAsia"/>
          <w:kern w:val="0"/>
          <w:sz w:val="24"/>
        </w:rPr>
        <w:t>组</w:t>
      </w:r>
      <w:r w:rsidRPr="00800D22">
        <w:rPr>
          <w:kern w:val="0"/>
          <w:sz w:val="24"/>
        </w:rPr>
        <w:t>合使用，来推动我国资产证券化健康快速发展。</w:t>
      </w:r>
    </w:p>
    <w:p w14:paraId="7852943A" w14:textId="4DAE31E8" w:rsidR="00FB021F" w:rsidRPr="00800D22" w:rsidRDefault="00FB021F" w:rsidP="00FB021F">
      <w:pPr>
        <w:pStyle w:val="af"/>
        <w:spacing w:beforeLines="100" w:before="312"/>
        <w:jc w:val="center"/>
        <w:rPr>
          <w:rFonts w:ascii="Times New Roman" w:eastAsia="新宋体" w:hAnsi="新宋体" w:cs="Times New Roman"/>
          <w:sz w:val="21"/>
          <w:szCs w:val="21"/>
        </w:rPr>
      </w:pPr>
      <w:bookmarkStart w:id="2" w:name="_Toc248813638"/>
      <w:bookmarkStart w:id="3" w:name="_Toc256506513"/>
      <w:r w:rsidRPr="00800D22">
        <w:rPr>
          <w:rFonts w:ascii="Times New Roman" w:eastAsia="新宋体" w:hAnsi="新宋体" w:cs="Times New Roman" w:hint="eastAsia"/>
          <w:sz w:val="21"/>
          <w:szCs w:val="21"/>
        </w:rPr>
        <w:t>表</w:t>
      </w:r>
      <w:r w:rsidRPr="00800D22">
        <w:rPr>
          <w:rFonts w:ascii="Times New Roman" w:eastAsia="新宋体" w:hAnsi="新宋体" w:cs="Times New Roman" w:hint="eastAsia"/>
          <w:sz w:val="21"/>
          <w:szCs w:val="21"/>
        </w:rPr>
        <w:t xml:space="preserve">1  </w:t>
      </w:r>
      <w:r w:rsidRPr="00800D22">
        <w:rPr>
          <w:rFonts w:ascii="Times New Roman" w:eastAsia="新宋体" w:hAnsi="新宋体" w:cs="Times New Roman" w:hint="eastAsia"/>
          <w:sz w:val="21"/>
          <w:szCs w:val="21"/>
        </w:rPr>
        <w:t>截至</w:t>
      </w:r>
      <w:r w:rsidRPr="00800D22">
        <w:rPr>
          <w:rFonts w:ascii="Times New Roman" w:eastAsia="新宋体" w:hAnsi="新宋体" w:cs="Times New Roman" w:hint="eastAsia"/>
          <w:sz w:val="21"/>
          <w:szCs w:val="21"/>
        </w:rPr>
        <w:t>2009</w:t>
      </w:r>
      <w:r w:rsidRPr="00800D22">
        <w:rPr>
          <w:rFonts w:ascii="Times New Roman" w:eastAsia="新宋体" w:hAnsi="新宋体" w:cs="Times New Roman" w:hint="eastAsia"/>
          <w:sz w:val="21"/>
          <w:szCs w:val="21"/>
        </w:rPr>
        <w:t>年</w:t>
      </w:r>
      <w:r w:rsidRPr="00800D22">
        <w:rPr>
          <w:rFonts w:ascii="Times New Roman" w:eastAsia="新宋体" w:hAnsi="新宋体" w:cs="Times New Roman" w:hint="eastAsia"/>
          <w:sz w:val="21"/>
          <w:szCs w:val="21"/>
        </w:rPr>
        <w:t>12</w:t>
      </w:r>
      <w:r w:rsidRPr="00800D22">
        <w:rPr>
          <w:rFonts w:ascii="Times New Roman" w:eastAsia="新宋体" w:hAnsi="新宋体" w:cs="Times New Roman" w:hint="eastAsia"/>
          <w:sz w:val="21"/>
          <w:szCs w:val="21"/>
        </w:rPr>
        <w:t>月</w:t>
      </w:r>
      <w:r w:rsidRPr="00800D22">
        <w:rPr>
          <w:rFonts w:ascii="Times New Roman" w:eastAsia="新宋体" w:hAnsi="新宋体" w:cs="Times New Roman" w:hint="eastAsia"/>
          <w:sz w:val="21"/>
          <w:szCs w:val="21"/>
        </w:rPr>
        <w:t>31</w:t>
      </w:r>
      <w:r w:rsidRPr="00800D22">
        <w:rPr>
          <w:rFonts w:ascii="Times New Roman" w:eastAsia="新宋体" w:hAnsi="新宋体" w:cs="Times New Roman" w:hint="eastAsia"/>
          <w:sz w:val="21"/>
          <w:szCs w:val="21"/>
        </w:rPr>
        <w:t>日我国资产证券化产品发行情况</w:t>
      </w:r>
      <w:bookmarkEnd w:id="2"/>
      <w:bookmarkEnd w:id="3"/>
    </w:p>
    <w:p w14:paraId="130D781F" w14:textId="65FCC441" w:rsidR="00FB021F" w:rsidRPr="00800D22" w:rsidRDefault="00FB021F" w:rsidP="00FB021F">
      <w:pPr>
        <w:autoSpaceDE w:val="0"/>
        <w:autoSpaceDN w:val="0"/>
        <w:adjustRightInd w:val="0"/>
        <w:jc w:val="center"/>
        <w:rPr>
          <w:rFonts w:eastAsia="新宋体"/>
          <w:szCs w:val="21"/>
        </w:rPr>
      </w:pPr>
      <w:r w:rsidRPr="00800D22">
        <w:rPr>
          <w:rFonts w:eastAsia="新宋体" w:hint="eastAsia"/>
          <w:szCs w:val="21"/>
        </w:rPr>
        <w:t xml:space="preserve">Table 1  </w:t>
      </w:r>
      <w:r w:rsidRPr="00800D22">
        <w:rPr>
          <w:rFonts w:eastAsia="新宋体"/>
          <w:szCs w:val="21"/>
        </w:rPr>
        <w:t>Insurance</w:t>
      </w:r>
      <w:r w:rsidRPr="00800D22">
        <w:rPr>
          <w:rFonts w:eastAsia="新宋体" w:hint="eastAsia"/>
          <w:szCs w:val="21"/>
        </w:rPr>
        <w:t xml:space="preserve"> of ABS in China </w:t>
      </w:r>
      <w:r w:rsidRPr="00800D22">
        <w:rPr>
          <w:rFonts w:hint="eastAsia"/>
          <w:szCs w:val="21"/>
        </w:rPr>
        <w:t xml:space="preserve">by </w:t>
      </w:r>
      <w:r w:rsidRPr="00800D22">
        <w:rPr>
          <w:szCs w:val="21"/>
        </w:rPr>
        <w:t>December 31, 2009</w:t>
      </w:r>
    </w:p>
    <w:tbl>
      <w:tblPr>
        <w:tblW w:w="5000" w:type="pct"/>
        <w:tblBorders>
          <w:top w:val="single" w:sz="4" w:space="0" w:color="auto"/>
          <w:bottom w:val="single" w:sz="4" w:space="0" w:color="auto"/>
        </w:tblBorders>
        <w:tblLook w:val="0000" w:firstRow="0" w:lastRow="0" w:firstColumn="0" w:lastColumn="0" w:noHBand="0" w:noVBand="0"/>
      </w:tblPr>
      <w:tblGrid>
        <w:gridCol w:w="426"/>
        <w:gridCol w:w="2095"/>
        <w:gridCol w:w="2376"/>
        <w:gridCol w:w="1116"/>
        <w:gridCol w:w="2509"/>
      </w:tblGrid>
      <w:tr w:rsidR="00FB021F" w:rsidRPr="00800D22" w14:paraId="288B8EE6" w14:textId="77777777" w:rsidTr="000A32F1">
        <w:trPr>
          <w:trHeight w:val="389"/>
        </w:trPr>
        <w:tc>
          <w:tcPr>
            <w:tcW w:w="250" w:type="pct"/>
            <w:tcBorders>
              <w:top w:val="single" w:sz="4" w:space="0" w:color="auto"/>
              <w:bottom w:val="single" w:sz="4" w:space="0" w:color="auto"/>
            </w:tcBorders>
            <w:vAlign w:val="center"/>
          </w:tcPr>
          <w:p w14:paraId="06C60B44" w14:textId="77777777" w:rsidR="00FB021F" w:rsidRPr="00800D22" w:rsidRDefault="00FB021F" w:rsidP="000A32F1">
            <w:pPr>
              <w:adjustRightInd w:val="0"/>
              <w:rPr>
                <w:szCs w:val="21"/>
              </w:rPr>
            </w:pPr>
            <w:r w:rsidRPr="00800D22">
              <w:rPr>
                <w:rFonts w:hint="eastAsia"/>
                <w:szCs w:val="21"/>
              </w:rPr>
              <w:t>类型</w:t>
            </w:r>
          </w:p>
        </w:tc>
        <w:tc>
          <w:tcPr>
            <w:tcW w:w="1229" w:type="pct"/>
            <w:tcBorders>
              <w:top w:val="single" w:sz="4" w:space="0" w:color="auto"/>
              <w:bottom w:val="single" w:sz="4" w:space="0" w:color="auto"/>
            </w:tcBorders>
            <w:vAlign w:val="center"/>
          </w:tcPr>
          <w:p w14:paraId="76AAE68C" w14:textId="77777777" w:rsidR="00FB021F" w:rsidRPr="00800D22" w:rsidRDefault="00FB021F" w:rsidP="000A32F1">
            <w:pPr>
              <w:adjustRightInd w:val="0"/>
              <w:rPr>
                <w:szCs w:val="21"/>
              </w:rPr>
            </w:pPr>
            <w:r w:rsidRPr="00800D22">
              <w:rPr>
                <w:szCs w:val="21"/>
              </w:rPr>
              <w:t>名称</w:t>
            </w:r>
          </w:p>
        </w:tc>
        <w:tc>
          <w:tcPr>
            <w:tcW w:w="1394" w:type="pct"/>
            <w:tcBorders>
              <w:top w:val="single" w:sz="4" w:space="0" w:color="auto"/>
              <w:bottom w:val="single" w:sz="4" w:space="0" w:color="auto"/>
            </w:tcBorders>
            <w:noWrap/>
            <w:vAlign w:val="center"/>
          </w:tcPr>
          <w:p w14:paraId="155B8791" w14:textId="77777777" w:rsidR="00FB021F" w:rsidRPr="00800D22" w:rsidRDefault="00FB021F" w:rsidP="000A32F1">
            <w:pPr>
              <w:adjustRightInd w:val="0"/>
              <w:rPr>
                <w:szCs w:val="21"/>
              </w:rPr>
            </w:pPr>
            <w:r w:rsidRPr="00800D22">
              <w:rPr>
                <w:szCs w:val="21"/>
              </w:rPr>
              <w:t>发行人</w:t>
            </w:r>
          </w:p>
        </w:tc>
        <w:tc>
          <w:tcPr>
            <w:tcW w:w="655" w:type="pct"/>
            <w:tcBorders>
              <w:top w:val="single" w:sz="4" w:space="0" w:color="auto"/>
              <w:bottom w:val="single" w:sz="4" w:space="0" w:color="auto"/>
            </w:tcBorders>
            <w:vAlign w:val="center"/>
          </w:tcPr>
          <w:p w14:paraId="736C7F25" w14:textId="77777777" w:rsidR="00FB021F" w:rsidRPr="00800D22" w:rsidRDefault="00FB021F" w:rsidP="000A32F1">
            <w:pPr>
              <w:adjustRightInd w:val="0"/>
              <w:rPr>
                <w:szCs w:val="21"/>
              </w:rPr>
            </w:pPr>
            <w:r w:rsidRPr="00800D22">
              <w:rPr>
                <w:szCs w:val="21"/>
              </w:rPr>
              <w:t>基础资产</w:t>
            </w:r>
          </w:p>
        </w:tc>
        <w:tc>
          <w:tcPr>
            <w:tcW w:w="1473" w:type="pct"/>
            <w:tcBorders>
              <w:top w:val="single" w:sz="4" w:space="0" w:color="auto"/>
              <w:bottom w:val="single" w:sz="4" w:space="0" w:color="auto"/>
            </w:tcBorders>
            <w:noWrap/>
            <w:vAlign w:val="center"/>
          </w:tcPr>
          <w:p w14:paraId="2456947F" w14:textId="77777777" w:rsidR="00FB021F" w:rsidRPr="00800D22" w:rsidRDefault="00FB021F" w:rsidP="000A32F1">
            <w:pPr>
              <w:adjustRightInd w:val="0"/>
              <w:rPr>
                <w:szCs w:val="21"/>
              </w:rPr>
            </w:pPr>
            <w:r w:rsidRPr="00800D22">
              <w:rPr>
                <w:szCs w:val="21"/>
              </w:rPr>
              <w:t>信用増级方式</w:t>
            </w:r>
          </w:p>
        </w:tc>
      </w:tr>
      <w:tr w:rsidR="00FB021F" w:rsidRPr="00800D22" w14:paraId="763C2E15" w14:textId="77777777" w:rsidTr="000A32F1">
        <w:trPr>
          <w:trHeight w:val="703"/>
        </w:trPr>
        <w:tc>
          <w:tcPr>
            <w:tcW w:w="250" w:type="pct"/>
            <w:vMerge w:val="restart"/>
            <w:tcBorders>
              <w:top w:val="single" w:sz="4" w:space="0" w:color="auto"/>
            </w:tcBorders>
            <w:vAlign w:val="center"/>
          </w:tcPr>
          <w:p w14:paraId="0CF5E154" w14:textId="77777777" w:rsidR="00FB021F" w:rsidRPr="00800D22" w:rsidRDefault="00FB021F" w:rsidP="000A32F1">
            <w:pPr>
              <w:adjustRightInd w:val="0"/>
              <w:rPr>
                <w:sz w:val="18"/>
                <w:szCs w:val="18"/>
              </w:rPr>
            </w:pPr>
            <w:r w:rsidRPr="00800D22">
              <w:rPr>
                <w:sz w:val="18"/>
                <w:szCs w:val="18"/>
              </w:rPr>
              <w:t>企业专项资产证券化</w:t>
            </w:r>
          </w:p>
        </w:tc>
        <w:tc>
          <w:tcPr>
            <w:tcW w:w="1229" w:type="pct"/>
            <w:tcBorders>
              <w:top w:val="single" w:sz="4" w:space="0" w:color="auto"/>
            </w:tcBorders>
            <w:vAlign w:val="center"/>
          </w:tcPr>
          <w:p w14:paraId="4FD209D7" w14:textId="77777777" w:rsidR="00FB021F" w:rsidRPr="00800D22" w:rsidRDefault="00FB021F" w:rsidP="000A32F1">
            <w:pPr>
              <w:adjustRightInd w:val="0"/>
              <w:rPr>
                <w:sz w:val="18"/>
                <w:szCs w:val="18"/>
              </w:rPr>
            </w:pPr>
            <w:r w:rsidRPr="00800D22">
              <w:rPr>
                <w:sz w:val="18"/>
                <w:szCs w:val="18"/>
              </w:rPr>
              <w:t>中国联通</w:t>
            </w:r>
            <w:r w:rsidRPr="00800D22">
              <w:rPr>
                <w:sz w:val="18"/>
                <w:szCs w:val="18"/>
              </w:rPr>
              <w:t>CDMA</w:t>
            </w:r>
            <w:r w:rsidRPr="00800D22">
              <w:rPr>
                <w:sz w:val="18"/>
                <w:szCs w:val="18"/>
              </w:rPr>
              <w:t>网络租赁费收益计划</w:t>
            </w:r>
          </w:p>
        </w:tc>
        <w:tc>
          <w:tcPr>
            <w:tcW w:w="1394" w:type="pct"/>
            <w:tcBorders>
              <w:top w:val="single" w:sz="4" w:space="0" w:color="auto"/>
            </w:tcBorders>
            <w:vAlign w:val="center"/>
          </w:tcPr>
          <w:p w14:paraId="47D04B08" w14:textId="77777777" w:rsidR="00FB021F" w:rsidRPr="00800D22" w:rsidRDefault="00FB021F" w:rsidP="000A32F1">
            <w:pPr>
              <w:adjustRightInd w:val="0"/>
              <w:rPr>
                <w:sz w:val="18"/>
                <w:szCs w:val="18"/>
              </w:rPr>
            </w:pPr>
            <w:r w:rsidRPr="00800D22">
              <w:rPr>
                <w:rFonts w:hint="eastAsia"/>
                <w:sz w:val="18"/>
                <w:szCs w:val="18"/>
              </w:rPr>
              <w:t>中国联合网络通信有限公司</w:t>
            </w:r>
          </w:p>
        </w:tc>
        <w:tc>
          <w:tcPr>
            <w:tcW w:w="655" w:type="pct"/>
            <w:tcBorders>
              <w:top w:val="single" w:sz="4" w:space="0" w:color="auto"/>
            </w:tcBorders>
            <w:vAlign w:val="center"/>
          </w:tcPr>
          <w:p w14:paraId="1CDB4827" w14:textId="77777777" w:rsidR="00FB021F" w:rsidRPr="00800D22" w:rsidRDefault="00FB021F" w:rsidP="000A32F1">
            <w:pPr>
              <w:adjustRightInd w:val="0"/>
              <w:rPr>
                <w:sz w:val="18"/>
                <w:szCs w:val="18"/>
              </w:rPr>
            </w:pPr>
            <w:r w:rsidRPr="00800D22">
              <w:rPr>
                <w:sz w:val="18"/>
                <w:szCs w:val="18"/>
              </w:rPr>
              <w:t>租赁费</w:t>
            </w:r>
          </w:p>
        </w:tc>
        <w:tc>
          <w:tcPr>
            <w:tcW w:w="1473" w:type="pct"/>
            <w:tcBorders>
              <w:top w:val="single" w:sz="4" w:space="0" w:color="auto"/>
            </w:tcBorders>
            <w:vAlign w:val="center"/>
          </w:tcPr>
          <w:p w14:paraId="236BB645" w14:textId="77777777" w:rsidR="00FB021F" w:rsidRPr="00800D22" w:rsidRDefault="00FB021F" w:rsidP="000A32F1">
            <w:pPr>
              <w:adjustRightInd w:val="0"/>
              <w:rPr>
                <w:sz w:val="18"/>
                <w:szCs w:val="18"/>
              </w:rPr>
            </w:pPr>
            <w:r w:rsidRPr="00800D22">
              <w:rPr>
                <w:rFonts w:hint="eastAsia"/>
                <w:sz w:val="18"/>
                <w:szCs w:val="18"/>
              </w:rPr>
              <w:t>中国银行股份有限公司</w:t>
            </w:r>
            <w:r w:rsidRPr="00800D22">
              <w:rPr>
                <w:sz w:val="18"/>
                <w:szCs w:val="18"/>
              </w:rPr>
              <w:t>提供连带责任保证担保</w:t>
            </w:r>
          </w:p>
        </w:tc>
      </w:tr>
      <w:tr w:rsidR="00FB021F" w:rsidRPr="00800D22" w14:paraId="726D3357" w14:textId="77777777" w:rsidTr="000A32F1">
        <w:trPr>
          <w:trHeight w:val="703"/>
        </w:trPr>
        <w:tc>
          <w:tcPr>
            <w:tcW w:w="250" w:type="pct"/>
            <w:vMerge/>
            <w:vAlign w:val="center"/>
          </w:tcPr>
          <w:p w14:paraId="7DC0E498" w14:textId="77777777" w:rsidR="00FB021F" w:rsidRPr="00800D22" w:rsidRDefault="00FB021F" w:rsidP="000A32F1">
            <w:pPr>
              <w:adjustRightInd w:val="0"/>
              <w:rPr>
                <w:sz w:val="18"/>
                <w:szCs w:val="18"/>
              </w:rPr>
            </w:pPr>
          </w:p>
        </w:tc>
        <w:tc>
          <w:tcPr>
            <w:tcW w:w="1229" w:type="pct"/>
            <w:vAlign w:val="center"/>
          </w:tcPr>
          <w:p w14:paraId="6C0E9CEB" w14:textId="77777777" w:rsidR="00FB021F" w:rsidRPr="00800D22" w:rsidRDefault="00FB021F" w:rsidP="000A32F1">
            <w:pPr>
              <w:adjustRightInd w:val="0"/>
              <w:rPr>
                <w:sz w:val="18"/>
                <w:szCs w:val="18"/>
              </w:rPr>
            </w:pPr>
            <w:r w:rsidRPr="00800D22">
              <w:rPr>
                <w:sz w:val="18"/>
                <w:szCs w:val="18"/>
              </w:rPr>
              <w:t>莞深高速公路收费收益权专项资产管理计划</w:t>
            </w:r>
          </w:p>
        </w:tc>
        <w:tc>
          <w:tcPr>
            <w:tcW w:w="1394" w:type="pct"/>
            <w:vAlign w:val="center"/>
          </w:tcPr>
          <w:p w14:paraId="07A6CD66" w14:textId="77777777" w:rsidR="00FB021F" w:rsidRPr="00800D22" w:rsidRDefault="00FB021F" w:rsidP="000A32F1">
            <w:pPr>
              <w:adjustRightInd w:val="0"/>
              <w:rPr>
                <w:sz w:val="18"/>
                <w:szCs w:val="18"/>
              </w:rPr>
            </w:pPr>
            <w:r w:rsidRPr="00800D22">
              <w:rPr>
                <w:sz w:val="18"/>
                <w:szCs w:val="18"/>
              </w:rPr>
              <w:t>莞深高速</w:t>
            </w:r>
          </w:p>
        </w:tc>
        <w:tc>
          <w:tcPr>
            <w:tcW w:w="655" w:type="pct"/>
            <w:vAlign w:val="center"/>
          </w:tcPr>
          <w:p w14:paraId="2522766E" w14:textId="77777777" w:rsidR="00FB021F" w:rsidRPr="00800D22" w:rsidRDefault="00FB021F" w:rsidP="000A32F1">
            <w:pPr>
              <w:adjustRightInd w:val="0"/>
              <w:rPr>
                <w:sz w:val="18"/>
                <w:szCs w:val="18"/>
              </w:rPr>
            </w:pPr>
            <w:r w:rsidRPr="00800D22">
              <w:rPr>
                <w:sz w:val="18"/>
                <w:szCs w:val="18"/>
              </w:rPr>
              <w:t>车辆通行费</w:t>
            </w:r>
          </w:p>
        </w:tc>
        <w:tc>
          <w:tcPr>
            <w:tcW w:w="1473" w:type="pct"/>
            <w:vAlign w:val="center"/>
          </w:tcPr>
          <w:p w14:paraId="36263287" w14:textId="77777777" w:rsidR="00FB021F" w:rsidRPr="00800D22" w:rsidRDefault="00FB021F" w:rsidP="000A32F1">
            <w:pPr>
              <w:adjustRightInd w:val="0"/>
              <w:rPr>
                <w:sz w:val="18"/>
                <w:szCs w:val="18"/>
              </w:rPr>
            </w:pPr>
            <w:r w:rsidRPr="00800D22">
              <w:rPr>
                <w:rFonts w:hint="eastAsia"/>
                <w:sz w:val="18"/>
                <w:szCs w:val="18"/>
              </w:rPr>
              <w:t>中国工商银行股份有限公司</w:t>
            </w:r>
            <w:r w:rsidRPr="00800D22">
              <w:rPr>
                <w:sz w:val="18"/>
                <w:szCs w:val="18"/>
              </w:rPr>
              <w:t>提供连带责任保证担保</w:t>
            </w:r>
          </w:p>
        </w:tc>
      </w:tr>
      <w:tr w:rsidR="00FB021F" w:rsidRPr="00800D22" w14:paraId="54843488" w14:textId="77777777" w:rsidTr="000A32F1">
        <w:trPr>
          <w:trHeight w:val="703"/>
        </w:trPr>
        <w:tc>
          <w:tcPr>
            <w:tcW w:w="250" w:type="pct"/>
            <w:vMerge/>
            <w:vAlign w:val="center"/>
          </w:tcPr>
          <w:p w14:paraId="625789B0" w14:textId="77777777" w:rsidR="00FB021F" w:rsidRPr="00800D22" w:rsidRDefault="00FB021F" w:rsidP="000A32F1">
            <w:pPr>
              <w:adjustRightInd w:val="0"/>
              <w:rPr>
                <w:sz w:val="18"/>
                <w:szCs w:val="18"/>
              </w:rPr>
            </w:pPr>
          </w:p>
        </w:tc>
        <w:tc>
          <w:tcPr>
            <w:tcW w:w="1229" w:type="pct"/>
            <w:vAlign w:val="center"/>
          </w:tcPr>
          <w:p w14:paraId="534A1328" w14:textId="77777777" w:rsidR="00FB021F" w:rsidRPr="00800D22" w:rsidRDefault="00FB021F" w:rsidP="000A32F1">
            <w:pPr>
              <w:adjustRightInd w:val="0"/>
              <w:rPr>
                <w:sz w:val="18"/>
                <w:szCs w:val="18"/>
              </w:rPr>
            </w:pPr>
            <w:r w:rsidRPr="00800D22">
              <w:rPr>
                <w:sz w:val="18"/>
                <w:szCs w:val="18"/>
              </w:rPr>
              <w:t>中国网通应收账款资产支持收益专项资产管理计划</w:t>
            </w:r>
          </w:p>
        </w:tc>
        <w:tc>
          <w:tcPr>
            <w:tcW w:w="1394" w:type="pct"/>
            <w:vAlign w:val="center"/>
          </w:tcPr>
          <w:p w14:paraId="5BCDC6C9" w14:textId="77777777" w:rsidR="00FB021F" w:rsidRPr="00800D22" w:rsidRDefault="00FB021F" w:rsidP="000A32F1">
            <w:pPr>
              <w:adjustRightInd w:val="0"/>
              <w:rPr>
                <w:sz w:val="18"/>
                <w:szCs w:val="18"/>
              </w:rPr>
            </w:pPr>
            <w:r w:rsidRPr="00800D22">
              <w:rPr>
                <w:rFonts w:hint="eastAsia"/>
                <w:sz w:val="18"/>
                <w:szCs w:val="18"/>
              </w:rPr>
              <w:t>中国网络通信集团公司</w:t>
            </w:r>
          </w:p>
        </w:tc>
        <w:tc>
          <w:tcPr>
            <w:tcW w:w="655" w:type="pct"/>
            <w:vAlign w:val="center"/>
          </w:tcPr>
          <w:p w14:paraId="00500462" w14:textId="77777777" w:rsidR="00FB021F" w:rsidRPr="00800D22" w:rsidRDefault="00FB021F" w:rsidP="000A32F1">
            <w:pPr>
              <w:adjustRightInd w:val="0"/>
              <w:rPr>
                <w:sz w:val="18"/>
                <w:szCs w:val="18"/>
              </w:rPr>
            </w:pPr>
            <w:r w:rsidRPr="00800D22">
              <w:rPr>
                <w:sz w:val="18"/>
                <w:szCs w:val="18"/>
              </w:rPr>
              <w:t>合同应收款</w:t>
            </w:r>
          </w:p>
        </w:tc>
        <w:tc>
          <w:tcPr>
            <w:tcW w:w="1473" w:type="pct"/>
            <w:vAlign w:val="center"/>
          </w:tcPr>
          <w:p w14:paraId="18C4E4A4" w14:textId="77777777" w:rsidR="00FB021F" w:rsidRPr="00800D22" w:rsidRDefault="00FB021F" w:rsidP="000A32F1">
            <w:pPr>
              <w:adjustRightInd w:val="0"/>
              <w:rPr>
                <w:sz w:val="18"/>
                <w:szCs w:val="18"/>
              </w:rPr>
            </w:pPr>
            <w:r w:rsidRPr="00800D22">
              <w:rPr>
                <w:rFonts w:hint="eastAsia"/>
                <w:sz w:val="18"/>
                <w:szCs w:val="18"/>
              </w:rPr>
              <w:t>中国工商银行股份有限公司</w:t>
            </w:r>
            <w:r w:rsidRPr="00800D22">
              <w:rPr>
                <w:sz w:val="18"/>
                <w:szCs w:val="18"/>
              </w:rPr>
              <w:t>提供连带责任保证担保</w:t>
            </w:r>
          </w:p>
        </w:tc>
      </w:tr>
      <w:tr w:rsidR="00FB021F" w:rsidRPr="00800D22" w14:paraId="3363B4B0" w14:textId="77777777" w:rsidTr="000A32F1">
        <w:trPr>
          <w:trHeight w:val="703"/>
        </w:trPr>
        <w:tc>
          <w:tcPr>
            <w:tcW w:w="250" w:type="pct"/>
            <w:vMerge/>
            <w:vAlign w:val="center"/>
          </w:tcPr>
          <w:p w14:paraId="6EE01C27" w14:textId="77777777" w:rsidR="00FB021F" w:rsidRPr="00800D22" w:rsidRDefault="00FB021F" w:rsidP="000A32F1">
            <w:pPr>
              <w:adjustRightInd w:val="0"/>
              <w:rPr>
                <w:sz w:val="18"/>
                <w:szCs w:val="18"/>
              </w:rPr>
            </w:pPr>
          </w:p>
        </w:tc>
        <w:tc>
          <w:tcPr>
            <w:tcW w:w="1229" w:type="pct"/>
            <w:vAlign w:val="center"/>
          </w:tcPr>
          <w:p w14:paraId="26A4F2EA" w14:textId="77777777" w:rsidR="00FB021F" w:rsidRPr="00800D22" w:rsidRDefault="00FB021F" w:rsidP="000A32F1">
            <w:pPr>
              <w:adjustRightInd w:val="0"/>
              <w:rPr>
                <w:sz w:val="18"/>
                <w:szCs w:val="18"/>
              </w:rPr>
            </w:pPr>
            <w:r w:rsidRPr="00800D22">
              <w:rPr>
                <w:sz w:val="18"/>
                <w:szCs w:val="18"/>
              </w:rPr>
              <w:t>远东首期租赁资产支持收益专向资产管理计划</w:t>
            </w:r>
          </w:p>
        </w:tc>
        <w:tc>
          <w:tcPr>
            <w:tcW w:w="1394" w:type="pct"/>
            <w:vAlign w:val="center"/>
          </w:tcPr>
          <w:p w14:paraId="2107C078" w14:textId="77777777" w:rsidR="00FB021F" w:rsidRPr="00800D22" w:rsidRDefault="00FB021F" w:rsidP="000A32F1">
            <w:pPr>
              <w:adjustRightInd w:val="0"/>
              <w:rPr>
                <w:sz w:val="18"/>
                <w:szCs w:val="18"/>
              </w:rPr>
            </w:pPr>
            <w:r w:rsidRPr="00800D22">
              <w:rPr>
                <w:sz w:val="18"/>
                <w:szCs w:val="18"/>
              </w:rPr>
              <w:t>远东国际租赁有限公司</w:t>
            </w:r>
          </w:p>
        </w:tc>
        <w:tc>
          <w:tcPr>
            <w:tcW w:w="655" w:type="pct"/>
            <w:vAlign w:val="center"/>
          </w:tcPr>
          <w:p w14:paraId="416F7DAE" w14:textId="77777777" w:rsidR="00FB021F" w:rsidRPr="00800D22" w:rsidRDefault="00FB021F" w:rsidP="000A32F1">
            <w:pPr>
              <w:adjustRightInd w:val="0"/>
              <w:rPr>
                <w:sz w:val="18"/>
                <w:szCs w:val="18"/>
              </w:rPr>
            </w:pPr>
            <w:r w:rsidRPr="00800D22">
              <w:rPr>
                <w:sz w:val="18"/>
                <w:szCs w:val="18"/>
              </w:rPr>
              <w:t>应收融资租赁费</w:t>
            </w:r>
          </w:p>
        </w:tc>
        <w:tc>
          <w:tcPr>
            <w:tcW w:w="1473" w:type="pct"/>
            <w:vAlign w:val="center"/>
          </w:tcPr>
          <w:p w14:paraId="6D355DFD"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r w:rsidRPr="00800D22">
              <w:rPr>
                <w:rFonts w:hint="eastAsia"/>
                <w:sz w:val="18"/>
                <w:szCs w:val="18"/>
              </w:rPr>
              <w:t>中国石油化工集团公司</w:t>
            </w:r>
            <w:r w:rsidRPr="00800D22">
              <w:rPr>
                <w:sz w:val="18"/>
                <w:szCs w:val="18"/>
              </w:rPr>
              <w:t>提供连带责任担保</w:t>
            </w:r>
          </w:p>
        </w:tc>
      </w:tr>
      <w:tr w:rsidR="00FB021F" w:rsidRPr="00800D22" w14:paraId="74DBD951" w14:textId="77777777" w:rsidTr="000A32F1">
        <w:trPr>
          <w:trHeight w:val="703"/>
        </w:trPr>
        <w:tc>
          <w:tcPr>
            <w:tcW w:w="250" w:type="pct"/>
            <w:vMerge/>
            <w:vAlign w:val="center"/>
          </w:tcPr>
          <w:p w14:paraId="13178E7F" w14:textId="77777777" w:rsidR="00FB021F" w:rsidRPr="00800D22" w:rsidRDefault="00FB021F" w:rsidP="000A32F1">
            <w:pPr>
              <w:adjustRightInd w:val="0"/>
              <w:rPr>
                <w:sz w:val="18"/>
                <w:szCs w:val="18"/>
              </w:rPr>
            </w:pPr>
          </w:p>
        </w:tc>
        <w:tc>
          <w:tcPr>
            <w:tcW w:w="1229" w:type="pct"/>
            <w:vAlign w:val="center"/>
          </w:tcPr>
          <w:p w14:paraId="09C2475A" w14:textId="77777777" w:rsidR="00FB021F" w:rsidRPr="00800D22" w:rsidRDefault="00FB021F" w:rsidP="000A32F1">
            <w:pPr>
              <w:adjustRightInd w:val="0"/>
              <w:rPr>
                <w:sz w:val="18"/>
                <w:szCs w:val="18"/>
              </w:rPr>
            </w:pPr>
            <w:r w:rsidRPr="00800D22">
              <w:rPr>
                <w:sz w:val="18"/>
                <w:szCs w:val="18"/>
              </w:rPr>
              <w:t>华能澜沧江水电收益专项资产管理计划</w:t>
            </w:r>
          </w:p>
        </w:tc>
        <w:tc>
          <w:tcPr>
            <w:tcW w:w="1394" w:type="pct"/>
            <w:vAlign w:val="center"/>
          </w:tcPr>
          <w:p w14:paraId="7D37F76C" w14:textId="77777777" w:rsidR="00FB021F" w:rsidRPr="00800D22" w:rsidRDefault="00FB021F" w:rsidP="000A32F1">
            <w:pPr>
              <w:adjustRightInd w:val="0"/>
              <w:rPr>
                <w:sz w:val="18"/>
                <w:szCs w:val="18"/>
              </w:rPr>
            </w:pPr>
            <w:r w:rsidRPr="00800D22">
              <w:rPr>
                <w:sz w:val="18"/>
                <w:szCs w:val="18"/>
              </w:rPr>
              <w:t>云南华能澜沧江水电有限公司</w:t>
            </w:r>
          </w:p>
        </w:tc>
        <w:tc>
          <w:tcPr>
            <w:tcW w:w="655" w:type="pct"/>
            <w:vAlign w:val="center"/>
          </w:tcPr>
          <w:p w14:paraId="671BDF1F" w14:textId="77777777" w:rsidR="00FB021F" w:rsidRPr="00800D22" w:rsidRDefault="00FB021F" w:rsidP="000A32F1">
            <w:pPr>
              <w:adjustRightInd w:val="0"/>
              <w:rPr>
                <w:sz w:val="18"/>
                <w:szCs w:val="18"/>
              </w:rPr>
            </w:pPr>
            <w:r w:rsidRPr="00800D22">
              <w:rPr>
                <w:sz w:val="18"/>
                <w:szCs w:val="18"/>
              </w:rPr>
              <w:t>电费收入</w:t>
            </w:r>
          </w:p>
        </w:tc>
        <w:tc>
          <w:tcPr>
            <w:tcW w:w="1473" w:type="pct"/>
            <w:vAlign w:val="center"/>
          </w:tcPr>
          <w:p w14:paraId="334B8FE3"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次级；中国农业银行</w:t>
            </w:r>
            <w:r w:rsidRPr="00800D22">
              <w:rPr>
                <w:rFonts w:hint="eastAsia"/>
                <w:sz w:val="18"/>
                <w:szCs w:val="18"/>
              </w:rPr>
              <w:t>股份有限公司</w:t>
            </w:r>
            <w:r w:rsidRPr="00800D22">
              <w:rPr>
                <w:sz w:val="18"/>
                <w:szCs w:val="18"/>
              </w:rPr>
              <w:t>提供连带责任保证担保</w:t>
            </w:r>
          </w:p>
        </w:tc>
      </w:tr>
      <w:tr w:rsidR="00FB021F" w:rsidRPr="00800D22" w14:paraId="0D2D00C3" w14:textId="77777777" w:rsidTr="000A32F1">
        <w:trPr>
          <w:trHeight w:val="703"/>
        </w:trPr>
        <w:tc>
          <w:tcPr>
            <w:tcW w:w="250" w:type="pct"/>
            <w:vMerge/>
            <w:vAlign w:val="center"/>
          </w:tcPr>
          <w:p w14:paraId="312D012C" w14:textId="77777777" w:rsidR="00FB021F" w:rsidRPr="00800D22" w:rsidRDefault="00FB021F" w:rsidP="000A32F1">
            <w:pPr>
              <w:adjustRightInd w:val="0"/>
              <w:rPr>
                <w:sz w:val="18"/>
                <w:szCs w:val="18"/>
              </w:rPr>
            </w:pPr>
          </w:p>
        </w:tc>
        <w:tc>
          <w:tcPr>
            <w:tcW w:w="1229" w:type="pct"/>
            <w:vAlign w:val="center"/>
          </w:tcPr>
          <w:p w14:paraId="2692BB7E" w14:textId="77777777" w:rsidR="00FB021F" w:rsidRPr="00800D22" w:rsidRDefault="00FB021F" w:rsidP="000A32F1">
            <w:pPr>
              <w:adjustRightInd w:val="0"/>
              <w:rPr>
                <w:sz w:val="18"/>
                <w:szCs w:val="18"/>
              </w:rPr>
            </w:pPr>
            <w:r w:rsidRPr="00800D22">
              <w:rPr>
                <w:sz w:val="18"/>
                <w:szCs w:val="18"/>
              </w:rPr>
              <w:t>浦东建设</w:t>
            </w:r>
            <w:r w:rsidRPr="00800D22">
              <w:rPr>
                <w:sz w:val="18"/>
                <w:szCs w:val="18"/>
              </w:rPr>
              <w:t>BT</w:t>
            </w:r>
            <w:r w:rsidRPr="00800D22">
              <w:rPr>
                <w:sz w:val="18"/>
                <w:szCs w:val="18"/>
              </w:rPr>
              <w:t>项目资产支持收益专项资产管理计划</w:t>
            </w:r>
          </w:p>
        </w:tc>
        <w:tc>
          <w:tcPr>
            <w:tcW w:w="1394" w:type="pct"/>
            <w:vAlign w:val="center"/>
          </w:tcPr>
          <w:p w14:paraId="662FA7B0" w14:textId="77777777" w:rsidR="00FB021F" w:rsidRPr="00800D22" w:rsidRDefault="00FB021F" w:rsidP="000A32F1">
            <w:pPr>
              <w:adjustRightInd w:val="0"/>
              <w:rPr>
                <w:sz w:val="18"/>
                <w:szCs w:val="18"/>
              </w:rPr>
            </w:pPr>
            <w:r w:rsidRPr="00800D22">
              <w:rPr>
                <w:sz w:val="18"/>
                <w:szCs w:val="18"/>
              </w:rPr>
              <w:t>上海浦东路桥建设股份有限公司</w:t>
            </w:r>
          </w:p>
        </w:tc>
        <w:tc>
          <w:tcPr>
            <w:tcW w:w="655" w:type="pct"/>
            <w:vAlign w:val="center"/>
          </w:tcPr>
          <w:p w14:paraId="4D40FFC0" w14:textId="77777777" w:rsidR="00FB021F" w:rsidRPr="00800D22" w:rsidRDefault="00FB021F" w:rsidP="000A32F1">
            <w:pPr>
              <w:adjustRightInd w:val="0"/>
              <w:rPr>
                <w:sz w:val="18"/>
                <w:szCs w:val="18"/>
              </w:rPr>
            </w:pPr>
            <w:r w:rsidRPr="00800D22">
              <w:rPr>
                <w:sz w:val="18"/>
                <w:szCs w:val="18"/>
              </w:rPr>
              <w:t>BT</w:t>
            </w:r>
            <w:r w:rsidRPr="00800D22">
              <w:rPr>
                <w:sz w:val="18"/>
                <w:szCs w:val="18"/>
              </w:rPr>
              <w:t>债权</w:t>
            </w:r>
          </w:p>
        </w:tc>
        <w:tc>
          <w:tcPr>
            <w:tcW w:w="1473" w:type="pct"/>
            <w:vAlign w:val="center"/>
          </w:tcPr>
          <w:p w14:paraId="51A04968"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r w:rsidRPr="00800D22">
              <w:rPr>
                <w:rFonts w:hint="eastAsia"/>
                <w:sz w:val="18"/>
                <w:szCs w:val="18"/>
              </w:rPr>
              <w:t>上海浦东发展银行股份有限公司</w:t>
            </w:r>
            <w:r w:rsidRPr="00800D22">
              <w:rPr>
                <w:sz w:val="18"/>
                <w:szCs w:val="18"/>
              </w:rPr>
              <w:t>提供连带责任保证担保</w:t>
            </w:r>
          </w:p>
        </w:tc>
      </w:tr>
      <w:tr w:rsidR="00FB021F" w:rsidRPr="00800D22" w14:paraId="29B4B4CC" w14:textId="77777777" w:rsidTr="000A32F1">
        <w:trPr>
          <w:trHeight w:val="703"/>
        </w:trPr>
        <w:tc>
          <w:tcPr>
            <w:tcW w:w="250" w:type="pct"/>
            <w:vMerge/>
            <w:vAlign w:val="center"/>
          </w:tcPr>
          <w:p w14:paraId="1282F47C" w14:textId="77777777" w:rsidR="00FB021F" w:rsidRPr="00800D22" w:rsidRDefault="00FB021F" w:rsidP="000A32F1">
            <w:pPr>
              <w:adjustRightInd w:val="0"/>
              <w:rPr>
                <w:sz w:val="18"/>
                <w:szCs w:val="18"/>
              </w:rPr>
            </w:pPr>
          </w:p>
        </w:tc>
        <w:tc>
          <w:tcPr>
            <w:tcW w:w="1229" w:type="pct"/>
            <w:vAlign w:val="center"/>
          </w:tcPr>
          <w:p w14:paraId="44EA0300" w14:textId="77777777" w:rsidR="00FB021F" w:rsidRPr="00800D22" w:rsidRDefault="00FB021F" w:rsidP="000A32F1">
            <w:pPr>
              <w:adjustRightInd w:val="0"/>
              <w:rPr>
                <w:sz w:val="18"/>
                <w:szCs w:val="18"/>
              </w:rPr>
            </w:pPr>
            <w:r w:rsidRPr="00800D22">
              <w:rPr>
                <w:sz w:val="18"/>
                <w:szCs w:val="18"/>
              </w:rPr>
              <w:t>南京城建污水处理收费资产支持收益专项资产管理计划</w:t>
            </w:r>
          </w:p>
        </w:tc>
        <w:tc>
          <w:tcPr>
            <w:tcW w:w="1394" w:type="pct"/>
            <w:vAlign w:val="center"/>
          </w:tcPr>
          <w:p w14:paraId="6081FB8D" w14:textId="77777777" w:rsidR="00FB021F" w:rsidRPr="00800D22" w:rsidRDefault="00FB021F" w:rsidP="000A32F1">
            <w:pPr>
              <w:adjustRightInd w:val="0"/>
              <w:rPr>
                <w:sz w:val="18"/>
                <w:szCs w:val="18"/>
              </w:rPr>
            </w:pPr>
            <w:r w:rsidRPr="00800D22">
              <w:rPr>
                <w:sz w:val="18"/>
                <w:szCs w:val="18"/>
              </w:rPr>
              <w:t>南京市城市建设投资控股（集团）有限责任公司</w:t>
            </w:r>
          </w:p>
        </w:tc>
        <w:tc>
          <w:tcPr>
            <w:tcW w:w="655" w:type="pct"/>
            <w:vAlign w:val="center"/>
          </w:tcPr>
          <w:p w14:paraId="759C4748" w14:textId="77777777" w:rsidR="00FB021F" w:rsidRPr="00800D22" w:rsidRDefault="00FB021F" w:rsidP="000A32F1">
            <w:pPr>
              <w:adjustRightInd w:val="0"/>
              <w:rPr>
                <w:sz w:val="18"/>
                <w:szCs w:val="18"/>
              </w:rPr>
            </w:pPr>
            <w:r w:rsidRPr="00800D22">
              <w:rPr>
                <w:sz w:val="18"/>
                <w:szCs w:val="18"/>
              </w:rPr>
              <w:t>污水处理费</w:t>
            </w:r>
          </w:p>
        </w:tc>
        <w:tc>
          <w:tcPr>
            <w:tcW w:w="1473" w:type="pct"/>
            <w:vAlign w:val="center"/>
          </w:tcPr>
          <w:p w14:paraId="0767870D" w14:textId="77777777" w:rsidR="00FB021F" w:rsidRPr="00800D22" w:rsidRDefault="00FB021F" w:rsidP="000A32F1">
            <w:pPr>
              <w:adjustRightInd w:val="0"/>
              <w:rPr>
                <w:sz w:val="18"/>
                <w:szCs w:val="18"/>
              </w:rPr>
            </w:pPr>
            <w:r w:rsidRPr="00800D22">
              <w:rPr>
                <w:rFonts w:hint="eastAsia"/>
                <w:sz w:val="18"/>
                <w:szCs w:val="18"/>
              </w:rPr>
              <w:t>上海浦东发展银行股份有限公司</w:t>
            </w:r>
            <w:r w:rsidRPr="00800D22">
              <w:rPr>
                <w:sz w:val="18"/>
                <w:szCs w:val="18"/>
              </w:rPr>
              <w:t>南京分行提供连带责任保证担保</w:t>
            </w:r>
          </w:p>
        </w:tc>
      </w:tr>
      <w:tr w:rsidR="00FB021F" w:rsidRPr="00800D22" w14:paraId="55D4CDA4" w14:textId="77777777" w:rsidTr="000A32F1">
        <w:trPr>
          <w:trHeight w:val="703"/>
        </w:trPr>
        <w:tc>
          <w:tcPr>
            <w:tcW w:w="250" w:type="pct"/>
            <w:vMerge/>
            <w:vAlign w:val="center"/>
          </w:tcPr>
          <w:p w14:paraId="1488BCFF" w14:textId="77777777" w:rsidR="00FB021F" w:rsidRPr="00800D22" w:rsidRDefault="00FB021F" w:rsidP="000A32F1">
            <w:pPr>
              <w:adjustRightInd w:val="0"/>
              <w:rPr>
                <w:sz w:val="18"/>
                <w:szCs w:val="18"/>
              </w:rPr>
            </w:pPr>
          </w:p>
        </w:tc>
        <w:tc>
          <w:tcPr>
            <w:tcW w:w="1229" w:type="pct"/>
            <w:vAlign w:val="center"/>
          </w:tcPr>
          <w:p w14:paraId="5CC72FAB" w14:textId="77777777" w:rsidR="00FB021F" w:rsidRPr="00800D22" w:rsidRDefault="00FB021F" w:rsidP="000A32F1">
            <w:pPr>
              <w:adjustRightInd w:val="0"/>
              <w:rPr>
                <w:sz w:val="18"/>
                <w:szCs w:val="18"/>
              </w:rPr>
            </w:pPr>
            <w:r w:rsidRPr="00800D22">
              <w:rPr>
                <w:sz w:val="18"/>
                <w:szCs w:val="18"/>
              </w:rPr>
              <w:t>南通天电销售资产支持收益专项资产管理计划</w:t>
            </w:r>
          </w:p>
        </w:tc>
        <w:tc>
          <w:tcPr>
            <w:tcW w:w="1394" w:type="pct"/>
            <w:vAlign w:val="center"/>
          </w:tcPr>
          <w:p w14:paraId="607C9354" w14:textId="77777777" w:rsidR="00FB021F" w:rsidRPr="00800D22" w:rsidRDefault="00FB021F" w:rsidP="000A32F1">
            <w:pPr>
              <w:adjustRightInd w:val="0"/>
              <w:rPr>
                <w:sz w:val="18"/>
                <w:szCs w:val="18"/>
              </w:rPr>
            </w:pPr>
            <w:r w:rsidRPr="00800D22">
              <w:rPr>
                <w:rFonts w:hint="eastAsia"/>
                <w:sz w:val="18"/>
                <w:szCs w:val="18"/>
              </w:rPr>
              <w:t>南通天生港电力投资服务有限公司</w:t>
            </w:r>
          </w:p>
        </w:tc>
        <w:tc>
          <w:tcPr>
            <w:tcW w:w="655" w:type="pct"/>
            <w:vAlign w:val="center"/>
          </w:tcPr>
          <w:p w14:paraId="262CE00C" w14:textId="77777777" w:rsidR="00FB021F" w:rsidRPr="00800D22" w:rsidRDefault="00FB021F" w:rsidP="000A32F1">
            <w:pPr>
              <w:adjustRightInd w:val="0"/>
              <w:rPr>
                <w:sz w:val="18"/>
                <w:szCs w:val="18"/>
              </w:rPr>
            </w:pPr>
            <w:r w:rsidRPr="00800D22">
              <w:rPr>
                <w:sz w:val="18"/>
                <w:szCs w:val="18"/>
              </w:rPr>
              <w:t>电费收入</w:t>
            </w:r>
          </w:p>
        </w:tc>
        <w:tc>
          <w:tcPr>
            <w:tcW w:w="1473" w:type="pct"/>
            <w:vAlign w:val="center"/>
          </w:tcPr>
          <w:p w14:paraId="229C00BB" w14:textId="77777777" w:rsidR="00FB021F" w:rsidRPr="00800D22" w:rsidRDefault="00FB021F" w:rsidP="000A32F1">
            <w:pPr>
              <w:adjustRightInd w:val="0"/>
              <w:rPr>
                <w:sz w:val="18"/>
                <w:szCs w:val="18"/>
              </w:rPr>
            </w:pPr>
            <w:r w:rsidRPr="00800D22">
              <w:rPr>
                <w:rFonts w:hint="eastAsia"/>
                <w:sz w:val="18"/>
                <w:szCs w:val="18"/>
              </w:rPr>
              <w:t>中国工商银行股份有限公司</w:t>
            </w:r>
            <w:r w:rsidRPr="00800D22">
              <w:rPr>
                <w:sz w:val="18"/>
                <w:szCs w:val="18"/>
              </w:rPr>
              <w:t>提供连带责任保证担保</w:t>
            </w:r>
          </w:p>
        </w:tc>
      </w:tr>
      <w:tr w:rsidR="00FB021F" w:rsidRPr="00800D22" w14:paraId="103DD0DC" w14:textId="77777777" w:rsidTr="000A32F1">
        <w:trPr>
          <w:trHeight w:val="703"/>
        </w:trPr>
        <w:tc>
          <w:tcPr>
            <w:tcW w:w="250" w:type="pct"/>
            <w:vMerge/>
            <w:vAlign w:val="center"/>
          </w:tcPr>
          <w:p w14:paraId="5FE1DFE6" w14:textId="77777777" w:rsidR="00FB021F" w:rsidRPr="00800D22" w:rsidRDefault="00FB021F" w:rsidP="000A32F1">
            <w:pPr>
              <w:adjustRightInd w:val="0"/>
              <w:rPr>
                <w:sz w:val="18"/>
                <w:szCs w:val="18"/>
              </w:rPr>
            </w:pPr>
          </w:p>
        </w:tc>
        <w:tc>
          <w:tcPr>
            <w:tcW w:w="1229" w:type="pct"/>
            <w:vAlign w:val="center"/>
          </w:tcPr>
          <w:p w14:paraId="775753CB" w14:textId="77777777" w:rsidR="00FB021F" w:rsidRPr="00800D22" w:rsidRDefault="00FB021F" w:rsidP="000A32F1">
            <w:pPr>
              <w:adjustRightInd w:val="0"/>
              <w:rPr>
                <w:sz w:val="18"/>
                <w:szCs w:val="18"/>
              </w:rPr>
            </w:pPr>
            <w:r w:rsidRPr="00800D22">
              <w:rPr>
                <w:sz w:val="18"/>
                <w:szCs w:val="18"/>
              </w:rPr>
              <w:t>江苏吴中集团</w:t>
            </w:r>
            <w:r w:rsidRPr="00800D22">
              <w:rPr>
                <w:sz w:val="18"/>
                <w:szCs w:val="18"/>
              </w:rPr>
              <w:t>BT</w:t>
            </w:r>
            <w:r w:rsidRPr="00800D22">
              <w:rPr>
                <w:sz w:val="18"/>
                <w:szCs w:val="18"/>
              </w:rPr>
              <w:t>项目回购款专项资产管理计划</w:t>
            </w:r>
          </w:p>
        </w:tc>
        <w:tc>
          <w:tcPr>
            <w:tcW w:w="1394" w:type="pct"/>
            <w:vAlign w:val="center"/>
          </w:tcPr>
          <w:p w14:paraId="6C367965" w14:textId="77777777" w:rsidR="00FB021F" w:rsidRPr="00800D22" w:rsidRDefault="00FB021F" w:rsidP="000A32F1">
            <w:pPr>
              <w:adjustRightInd w:val="0"/>
              <w:rPr>
                <w:sz w:val="18"/>
                <w:szCs w:val="18"/>
              </w:rPr>
            </w:pPr>
            <w:r w:rsidRPr="00800D22">
              <w:rPr>
                <w:sz w:val="18"/>
                <w:szCs w:val="18"/>
              </w:rPr>
              <w:t>江苏吴中集团有限公司</w:t>
            </w:r>
          </w:p>
        </w:tc>
        <w:tc>
          <w:tcPr>
            <w:tcW w:w="655" w:type="pct"/>
            <w:vAlign w:val="center"/>
          </w:tcPr>
          <w:p w14:paraId="00DC1234" w14:textId="77777777" w:rsidR="00FB021F" w:rsidRPr="00800D22" w:rsidRDefault="00FB021F" w:rsidP="000A32F1">
            <w:pPr>
              <w:adjustRightInd w:val="0"/>
              <w:rPr>
                <w:sz w:val="18"/>
                <w:szCs w:val="18"/>
              </w:rPr>
            </w:pPr>
            <w:r w:rsidRPr="00800D22">
              <w:rPr>
                <w:sz w:val="18"/>
                <w:szCs w:val="18"/>
              </w:rPr>
              <w:t>BT</w:t>
            </w:r>
            <w:r w:rsidRPr="00800D22">
              <w:rPr>
                <w:sz w:val="18"/>
                <w:szCs w:val="18"/>
              </w:rPr>
              <w:t>债权</w:t>
            </w:r>
          </w:p>
        </w:tc>
        <w:tc>
          <w:tcPr>
            <w:tcW w:w="1473" w:type="pct"/>
            <w:vAlign w:val="center"/>
          </w:tcPr>
          <w:p w14:paraId="15B307C5"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r w:rsidRPr="00800D22">
              <w:rPr>
                <w:rFonts w:hint="eastAsia"/>
                <w:sz w:val="18"/>
                <w:szCs w:val="18"/>
              </w:rPr>
              <w:t>中信银行股份有限公司</w:t>
            </w:r>
            <w:r w:rsidRPr="00800D22">
              <w:rPr>
                <w:sz w:val="18"/>
                <w:szCs w:val="18"/>
              </w:rPr>
              <w:t>提供连带责任保证担保</w:t>
            </w:r>
          </w:p>
        </w:tc>
      </w:tr>
      <w:tr w:rsidR="00FB021F" w:rsidRPr="00800D22" w14:paraId="662BCAE4" w14:textId="77777777" w:rsidTr="000A32F1">
        <w:trPr>
          <w:trHeight w:val="703"/>
        </w:trPr>
        <w:tc>
          <w:tcPr>
            <w:tcW w:w="250" w:type="pct"/>
            <w:vMerge w:val="restart"/>
            <w:tcBorders>
              <w:top w:val="single" w:sz="4" w:space="0" w:color="auto"/>
            </w:tcBorders>
            <w:vAlign w:val="center"/>
          </w:tcPr>
          <w:p w14:paraId="2E82410E" w14:textId="77777777" w:rsidR="00FB021F" w:rsidRPr="00800D22" w:rsidRDefault="00FB021F" w:rsidP="000A32F1">
            <w:pPr>
              <w:adjustRightInd w:val="0"/>
              <w:textAlignment w:val="center"/>
              <w:rPr>
                <w:sz w:val="18"/>
                <w:szCs w:val="18"/>
              </w:rPr>
            </w:pPr>
            <w:r w:rsidRPr="00800D22">
              <w:rPr>
                <w:sz w:val="18"/>
                <w:szCs w:val="18"/>
              </w:rPr>
              <w:t>信贷资产证券化</w:t>
            </w:r>
          </w:p>
        </w:tc>
        <w:tc>
          <w:tcPr>
            <w:tcW w:w="1229" w:type="pct"/>
            <w:tcBorders>
              <w:top w:val="single" w:sz="4" w:space="0" w:color="auto"/>
            </w:tcBorders>
            <w:vAlign w:val="center"/>
          </w:tcPr>
          <w:p w14:paraId="56068FF6" w14:textId="77777777" w:rsidR="00FB021F" w:rsidRPr="00800D22" w:rsidRDefault="00FB021F" w:rsidP="000A32F1">
            <w:pPr>
              <w:adjustRightInd w:val="0"/>
              <w:textAlignment w:val="center"/>
              <w:rPr>
                <w:sz w:val="18"/>
                <w:szCs w:val="18"/>
              </w:rPr>
            </w:pPr>
            <w:r w:rsidRPr="00800D22">
              <w:rPr>
                <w:sz w:val="18"/>
                <w:szCs w:val="18"/>
              </w:rPr>
              <w:t>建元</w:t>
            </w:r>
            <w:r w:rsidRPr="00800D22">
              <w:rPr>
                <w:sz w:val="18"/>
                <w:szCs w:val="18"/>
              </w:rPr>
              <w:t>2005-1</w:t>
            </w:r>
            <w:r w:rsidRPr="00800D22">
              <w:rPr>
                <w:sz w:val="18"/>
                <w:szCs w:val="18"/>
              </w:rPr>
              <w:t>个人住房抵押贷款证券化信托</w:t>
            </w:r>
          </w:p>
        </w:tc>
        <w:tc>
          <w:tcPr>
            <w:tcW w:w="1394" w:type="pct"/>
            <w:tcBorders>
              <w:top w:val="single" w:sz="4" w:space="0" w:color="auto"/>
            </w:tcBorders>
            <w:noWrap/>
            <w:vAlign w:val="center"/>
          </w:tcPr>
          <w:p w14:paraId="54CDB8B4" w14:textId="77777777" w:rsidR="00FB021F" w:rsidRPr="00800D22" w:rsidRDefault="00FB021F" w:rsidP="000A32F1">
            <w:pPr>
              <w:adjustRightInd w:val="0"/>
              <w:textAlignment w:val="center"/>
              <w:rPr>
                <w:sz w:val="18"/>
                <w:szCs w:val="18"/>
              </w:rPr>
            </w:pPr>
            <w:r w:rsidRPr="00800D22">
              <w:rPr>
                <w:sz w:val="18"/>
                <w:szCs w:val="18"/>
              </w:rPr>
              <w:t>中国建设银行</w:t>
            </w:r>
            <w:r w:rsidRPr="00800D22">
              <w:rPr>
                <w:rFonts w:hint="eastAsia"/>
                <w:sz w:val="18"/>
                <w:szCs w:val="18"/>
              </w:rPr>
              <w:t>股份有限公司</w:t>
            </w:r>
          </w:p>
        </w:tc>
        <w:tc>
          <w:tcPr>
            <w:tcW w:w="655" w:type="pct"/>
            <w:tcBorders>
              <w:top w:val="single" w:sz="4" w:space="0" w:color="auto"/>
            </w:tcBorders>
            <w:vAlign w:val="center"/>
          </w:tcPr>
          <w:p w14:paraId="7333BBF0" w14:textId="77777777" w:rsidR="00FB021F" w:rsidRPr="00800D22" w:rsidRDefault="00FB021F" w:rsidP="000A32F1">
            <w:pPr>
              <w:adjustRightInd w:val="0"/>
              <w:textAlignment w:val="center"/>
              <w:rPr>
                <w:sz w:val="18"/>
                <w:szCs w:val="18"/>
              </w:rPr>
            </w:pPr>
            <w:r w:rsidRPr="00800D22">
              <w:rPr>
                <w:sz w:val="18"/>
                <w:szCs w:val="18"/>
              </w:rPr>
              <w:t>住房抵押贷款</w:t>
            </w:r>
          </w:p>
        </w:tc>
        <w:tc>
          <w:tcPr>
            <w:tcW w:w="1473" w:type="pct"/>
            <w:tcBorders>
              <w:top w:val="single" w:sz="4" w:space="0" w:color="auto"/>
            </w:tcBorders>
            <w:vAlign w:val="center"/>
          </w:tcPr>
          <w:p w14:paraId="22BDCB45" w14:textId="77777777" w:rsidR="00FB021F" w:rsidRPr="00800D22" w:rsidRDefault="00FB021F" w:rsidP="000A32F1">
            <w:pPr>
              <w:adjustRightInd w:val="0"/>
              <w:textAlignment w:val="center"/>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5A872999" w14:textId="77777777" w:rsidTr="000A32F1">
        <w:trPr>
          <w:trHeight w:val="703"/>
        </w:trPr>
        <w:tc>
          <w:tcPr>
            <w:tcW w:w="250" w:type="pct"/>
            <w:vMerge/>
            <w:vAlign w:val="center"/>
          </w:tcPr>
          <w:p w14:paraId="391368D7" w14:textId="77777777" w:rsidR="00FB021F" w:rsidRPr="00800D22" w:rsidRDefault="00FB021F" w:rsidP="000A32F1">
            <w:pPr>
              <w:adjustRightInd w:val="0"/>
              <w:textAlignment w:val="center"/>
              <w:rPr>
                <w:sz w:val="18"/>
                <w:szCs w:val="18"/>
              </w:rPr>
            </w:pPr>
          </w:p>
        </w:tc>
        <w:tc>
          <w:tcPr>
            <w:tcW w:w="1229" w:type="pct"/>
            <w:vAlign w:val="center"/>
          </w:tcPr>
          <w:p w14:paraId="38A9DC0B" w14:textId="77777777" w:rsidR="00FB021F" w:rsidRPr="00800D22" w:rsidRDefault="00FB021F" w:rsidP="000A32F1">
            <w:pPr>
              <w:adjustRightInd w:val="0"/>
              <w:textAlignment w:val="center"/>
              <w:rPr>
                <w:sz w:val="18"/>
                <w:szCs w:val="18"/>
              </w:rPr>
            </w:pPr>
            <w:r w:rsidRPr="00800D22">
              <w:rPr>
                <w:sz w:val="18"/>
                <w:szCs w:val="18"/>
              </w:rPr>
              <w:t>2005</w:t>
            </w:r>
            <w:r w:rsidRPr="00800D22">
              <w:rPr>
                <w:sz w:val="18"/>
                <w:szCs w:val="18"/>
              </w:rPr>
              <w:t>年第一期开元信贷资产支持证券</w:t>
            </w:r>
          </w:p>
        </w:tc>
        <w:tc>
          <w:tcPr>
            <w:tcW w:w="1394" w:type="pct"/>
            <w:vAlign w:val="center"/>
          </w:tcPr>
          <w:p w14:paraId="676B66F6" w14:textId="77777777" w:rsidR="00FB021F" w:rsidRPr="00800D22" w:rsidRDefault="00FB021F" w:rsidP="000A32F1">
            <w:pPr>
              <w:adjustRightInd w:val="0"/>
              <w:textAlignment w:val="center"/>
              <w:rPr>
                <w:sz w:val="18"/>
                <w:szCs w:val="18"/>
              </w:rPr>
            </w:pPr>
            <w:r w:rsidRPr="00800D22">
              <w:rPr>
                <w:rFonts w:hint="eastAsia"/>
                <w:sz w:val="18"/>
                <w:szCs w:val="18"/>
              </w:rPr>
              <w:t>国家开发银行股份有限公司</w:t>
            </w:r>
          </w:p>
        </w:tc>
        <w:tc>
          <w:tcPr>
            <w:tcW w:w="655" w:type="pct"/>
            <w:vAlign w:val="center"/>
          </w:tcPr>
          <w:p w14:paraId="1E59EAD3" w14:textId="77777777" w:rsidR="00FB021F" w:rsidRPr="00800D22" w:rsidRDefault="00FB021F" w:rsidP="000A32F1">
            <w:pPr>
              <w:adjustRightInd w:val="0"/>
              <w:textAlignment w:val="center"/>
              <w:rPr>
                <w:sz w:val="18"/>
                <w:szCs w:val="18"/>
              </w:rPr>
            </w:pPr>
            <w:r w:rsidRPr="00800D22">
              <w:rPr>
                <w:sz w:val="18"/>
                <w:szCs w:val="18"/>
              </w:rPr>
              <w:t>信贷资产</w:t>
            </w:r>
          </w:p>
        </w:tc>
        <w:tc>
          <w:tcPr>
            <w:tcW w:w="1473" w:type="pct"/>
            <w:vAlign w:val="center"/>
          </w:tcPr>
          <w:p w14:paraId="7A925300" w14:textId="77777777" w:rsidR="00FB021F" w:rsidRPr="00800D22" w:rsidRDefault="00FB021F" w:rsidP="000A32F1">
            <w:pPr>
              <w:adjustRightInd w:val="0"/>
              <w:textAlignment w:val="center"/>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4BE2642C" w14:textId="77777777" w:rsidTr="000A32F1">
        <w:trPr>
          <w:trHeight w:val="703"/>
        </w:trPr>
        <w:tc>
          <w:tcPr>
            <w:tcW w:w="250" w:type="pct"/>
            <w:vMerge/>
            <w:vAlign w:val="center"/>
          </w:tcPr>
          <w:p w14:paraId="0E53C381" w14:textId="77777777" w:rsidR="00FB021F" w:rsidRPr="00800D22" w:rsidRDefault="00FB021F" w:rsidP="000A32F1">
            <w:pPr>
              <w:adjustRightInd w:val="0"/>
              <w:rPr>
                <w:sz w:val="18"/>
                <w:szCs w:val="18"/>
              </w:rPr>
            </w:pPr>
          </w:p>
        </w:tc>
        <w:tc>
          <w:tcPr>
            <w:tcW w:w="1229" w:type="pct"/>
            <w:vAlign w:val="center"/>
          </w:tcPr>
          <w:p w14:paraId="3E7FD513" w14:textId="77777777" w:rsidR="00FB021F" w:rsidRPr="00800D22" w:rsidRDefault="00FB021F" w:rsidP="000A32F1">
            <w:pPr>
              <w:adjustRightInd w:val="0"/>
              <w:rPr>
                <w:sz w:val="18"/>
                <w:szCs w:val="18"/>
              </w:rPr>
            </w:pPr>
            <w:r w:rsidRPr="00800D22">
              <w:rPr>
                <w:sz w:val="18"/>
                <w:szCs w:val="18"/>
              </w:rPr>
              <w:t>东元</w:t>
            </w:r>
            <w:r w:rsidRPr="00800D22">
              <w:rPr>
                <w:sz w:val="18"/>
                <w:szCs w:val="18"/>
              </w:rPr>
              <w:t>2006-1</w:t>
            </w:r>
            <w:r w:rsidRPr="00800D22">
              <w:rPr>
                <w:sz w:val="18"/>
                <w:szCs w:val="18"/>
              </w:rPr>
              <w:t>优先级重整资产支持证券</w:t>
            </w:r>
          </w:p>
        </w:tc>
        <w:tc>
          <w:tcPr>
            <w:tcW w:w="1394" w:type="pct"/>
            <w:vAlign w:val="center"/>
          </w:tcPr>
          <w:p w14:paraId="491E0FFF" w14:textId="77777777" w:rsidR="00FB021F" w:rsidRPr="00800D22" w:rsidRDefault="00FB021F" w:rsidP="000A32F1">
            <w:pPr>
              <w:adjustRightInd w:val="0"/>
              <w:rPr>
                <w:sz w:val="18"/>
                <w:szCs w:val="18"/>
              </w:rPr>
            </w:pPr>
            <w:r w:rsidRPr="00800D22">
              <w:rPr>
                <w:rFonts w:hint="eastAsia"/>
                <w:sz w:val="18"/>
                <w:szCs w:val="18"/>
              </w:rPr>
              <w:t>中国东方资产管理有限公司</w:t>
            </w:r>
          </w:p>
        </w:tc>
        <w:tc>
          <w:tcPr>
            <w:tcW w:w="655" w:type="pct"/>
            <w:vAlign w:val="center"/>
          </w:tcPr>
          <w:p w14:paraId="2158782A" w14:textId="77777777" w:rsidR="00FB021F" w:rsidRPr="00800D22" w:rsidRDefault="00FB021F" w:rsidP="000A32F1">
            <w:pPr>
              <w:adjustRightInd w:val="0"/>
              <w:rPr>
                <w:sz w:val="18"/>
                <w:szCs w:val="18"/>
              </w:rPr>
            </w:pPr>
            <w:r w:rsidRPr="00800D22">
              <w:rPr>
                <w:sz w:val="18"/>
                <w:szCs w:val="18"/>
              </w:rPr>
              <w:t>不良资产</w:t>
            </w:r>
          </w:p>
        </w:tc>
        <w:tc>
          <w:tcPr>
            <w:tcW w:w="1473" w:type="pct"/>
            <w:vAlign w:val="center"/>
          </w:tcPr>
          <w:p w14:paraId="5A06A485"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次级；设立信托准备金账户；流动性支持</w:t>
            </w:r>
          </w:p>
        </w:tc>
      </w:tr>
      <w:tr w:rsidR="00FB021F" w:rsidRPr="00800D22" w14:paraId="3242D8AE" w14:textId="77777777" w:rsidTr="000A32F1">
        <w:trPr>
          <w:trHeight w:val="703"/>
        </w:trPr>
        <w:tc>
          <w:tcPr>
            <w:tcW w:w="250" w:type="pct"/>
            <w:vMerge/>
            <w:vAlign w:val="center"/>
          </w:tcPr>
          <w:p w14:paraId="4729CE5D" w14:textId="77777777" w:rsidR="00FB021F" w:rsidRPr="00800D22" w:rsidRDefault="00FB021F" w:rsidP="000A32F1">
            <w:pPr>
              <w:adjustRightInd w:val="0"/>
              <w:rPr>
                <w:sz w:val="18"/>
                <w:szCs w:val="18"/>
              </w:rPr>
            </w:pPr>
          </w:p>
        </w:tc>
        <w:tc>
          <w:tcPr>
            <w:tcW w:w="1229" w:type="pct"/>
            <w:vAlign w:val="center"/>
          </w:tcPr>
          <w:p w14:paraId="29DEB295" w14:textId="77777777" w:rsidR="00FB021F" w:rsidRPr="00800D22" w:rsidRDefault="00FB021F" w:rsidP="000A32F1">
            <w:pPr>
              <w:adjustRightInd w:val="0"/>
              <w:rPr>
                <w:sz w:val="18"/>
                <w:szCs w:val="18"/>
              </w:rPr>
            </w:pPr>
            <w:r w:rsidRPr="00800D22">
              <w:rPr>
                <w:sz w:val="18"/>
                <w:szCs w:val="18"/>
              </w:rPr>
              <w:t>2006</w:t>
            </w:r>
            <w:r w:rsidRPr="00800D22">
              <w:rPr>
                <w:sz w:val="18"/>
                <w:szCs w:val="18"/>
              </w:rPr>
              <w:t>年第一期开元信贷资产支持证券</w:t>
            </w:r>
          </w:p>
        </w:tc>
        <w:tc>
          <w:tcPr>
            <w:tcW w:w="1394" w:type="pct"/>
            <w:vAlign w:val="center"/>
          </w:tcPr>
          <w:p w14:paraId="5F75CE13" w14:textId="77777777" w:rsidR="00FB021F" w:rsidRPr="00800D22" w:rsidRDefault="00FB021F" w:rsidP="000A32F1">
            <w:pPr>
              <w:adjustRightInd w:val="0"/>
              <w:rPr>
                <w:sz w:val="18"/>
                <w:szCs w:val="18"/>
              </w:rPr>
            </w:pPr>
            <w:r w:rsidRPr="00800D22">
              <w:rPr>
                <w:rFonts w:hint="eastAsia"/>
                <w:sz w:val="18"/>
                <w:szCs w:val="18"/>
              </w:rPr>
              <w:t>国家开发银行股份有限公司</w:t>
            </w:r>
          </w:p>
        </w:tc>
        <w:tc>
          <w:tcPr>
            <w:tcW w:w="655" w:type="pct"/>
            <w:vAlign w:val="center"/>
          </w:tcPr>
          <w:p w14:paraId="456FA7D6" w14:textId="77777777" w:rsidR="00FB021F" w:rsidRPr="00800D22" w:rsidRDefault="00FB021F" w:rsidP="000A32F1">
            <w:pPr>
              <w:adjustRightInd w:val="0"/>
              <w:rPr>
                <w:sz w:val="18"/>
                <w:szCs w:val="18"/>
              </w:rPr>
            </w:pPr>
            <w:r w:rsidRPr="00800D22">
              <w:rPr>
                <w:sz w:val="18"/>
                <w:szCs w:val="18"/>
              </w:rPr>
              <w:t>信贷资产</w:t>
            </w:r>
          </w:p>
        </w:tc>
        <w:tc>
          <w:tcPr>
            <w:tcW w:w="1473" w:type="pct"/>
            <w:vAlign w:val="center"/>
          </w:tcPr>
          <w:p w14:paraId="67869D06"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3F369A04" w14:textId="77777777" w:rsidTr="000A32F1">
        <w:trPr>
          <w:trHeight w:val="703"/>
        </w:trPr>
        <w:tc>
          <w:tcPr>
            <w:tcW w:w="250" w:type="pct"/>
            <w:vMerge/>
            <w:vAlign w:val="center"/>
          </w:tcPr>
          <w:p w14:paraId="497F5B75" w14:textId="77777777" w:rsidR="00FB021F" w:rsidRPr="00800D22" w:rsidRDefault="00FB021F" w:rsidP="000A32F1">
            <w:pPr>
              <w:adjustRightInd w:val="0"/>
              <w:rPr>
                <w:sz w:val="18"/>
                <w:szCs w:val="18"/>
              </w:rPr>
            </w:pPr>
          </w:p>
        </w:tc>
        <w:tc>
          <w:tcPr>
            <w:tcW w:w="1229" w:type="pct"/>
            <w:vAlign w:val="center"/>
          </w:tcPr>
          <w:p w14:paraId="35E485F3" w14:textId="77777777" w:rsidR="00FB021F" w:rsidRPr="00800D22" w:rsidRDefault="00FB021F" w:rsidP="000A32F1">
            <w:pPr>
              <w:adjustRightInd w:val="0"/>
              <w:rPr>
                <w:sz w:val="18"/>
                <w:szCs w:val="18"/>
              </w:rPr>
            </w:pPr>
            <w:r w:rsidRPr="00800D22">
              <w:rPr>
                <w:sz w:val="18"/>
                <w:szCs w:val="18"/>
              </w:rPr>
              <w:t>信元（凤凰）</w:t>
            </w:r>
            <w:r w:rsidRPr="00800D22">
              <w:rPr>
                <w:sz w:val="18"/>
                <w:szCs w:val="18"/>
              </w:rPr>
              <w:t>2006-1</w:t>
            </w:r>
            <w:r w:rsidRPr="00800D22">
              <w:rPr>
                <w:sz w:val="18"/>
                <w:szCs w:val="18"/>
              </w:rPr>
              <w:t>重整资产证券化信托</w:t>
            </w:r>
          </w:p>
        </w:tc>
        <w:tc>
          <w:tcPr>
            <w:tcW w:w="1394" w:type="pct"/>
            <w:vAlign w:val="center"/>
          </w:tcPr>
          <w:p w14:paraId="1AF38B14" w14:textId="77777777" w:rsidR="00FB021F" w:rsidRPr="00800D22" w:rsidRDefault="00FB021F" w:rsidP="000A32F1">
            <w:pPr>
              <w:adjustRightInd w:val="0"/>
              <w:rPr>
                <w:sz w:val="18"/>
                <w:szCs w:val="18"/>
              </w:rPr>
            </w:pPr>
            <w:r w:rsidRPr="00800D22">
              <w:rPr>
                <w:sz w:val="18"/>
                <w:szCs w:val="18"/>
              </w:rPr>
              <w:t>中国信达资产管理</w:t>
            </w:r>
            <w:r w:rsidRPr="00800D22">
              <w:rPr>
                <w:rFonts w:hint="eastAsia"/>
                <w:sz w:val="18"/>
                <w:szCs w:val="18"/>
              </w:rPr>
              <w:t>有限</w:t>
            </w:r>
            <w:r w:rsidRPr="00800D22">
              <w:rPr>
                <w:sz w:val="18"/>
                <w:szCs w:val="18"/>
              </w:rPr>
              <w:t>公司</w:t>
            </w:r>
          </w:p>
        </w:tc>
        <w:tc>
          <w:tcPr>
            <w:tcW w:w="655" w:type="pct"/>
            <w:vAlign w:val="center"/>
          </w:tcPr>
          <w:p w14:paraId="0C2B42E7" w14:textId="77777777" w:rsidR="00FB021F" w:rsidRPr="00800D22" w:rsidRDefault="00FB021F" w:rsidP="000A32F1">
            <w:pPr>
              <w:adjustRightInd w:val="0"/>
              <w:rPr>
                <w:sz w:val="18"/>
                <w:szCs w:val="18"/>
              </w:rPr>
            </w:pPr>
            <w:r w:rsidRPr="00800D22">
              <w:rPr>
                <w:sz w:val="18"/>
                <w:szCs w:val="18"/>
              </w:rPr>
              <w:t>不良资产</w:t>
            </w:r>
          </w:p>
        </w:tc>
        <w:tc>
          <w:tcPr>
            <w:tcW w:w="1473" w:type="pct"/>
            <w:vAlign w:val="center"/>
          </w:tcPr>
          <w:p w14:paraId="72B25A14"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3021726F" w14:textId="77777777" w:rsidTr="000A32F1">
        <w:trPr>
          <w:trHeight w:val="703"/>
        </w:trPr>
        <w:tc>
          <w:tcPr>
            <w:tcW w:w="250" w:type="pct"/>
            <w:vMerge/>
            <w:vAlign w:val="center"/>
          </w:tcPr>
          <w:p w14:paraId="2CBF62E5" w14:textId="77777777" w:rsidR="00FB021F" w:rsidRPr="00800D22" w:rsidRDefault="00FB021F" w:rsidP="000A32F1">
            <w:pPr>
              <w:adjustRightInd w:val="0"/>
              <w:rPr>
                <w:sz w:val="18"/>
                <w:szCs w:val="18"/>
              </w:rPr>
            </w:pPr>
          </w:p>
        </w:tc>
        <w:tc>
          <w:tcPr>
            <w:tcW w:w="1229" w:type="pct"/>
            <w:vAlign w:val="center"/>
          </w:tcPr>
          <w:p w14:paraId="4541C40E" w14:textId="77777777" w:rsidR="00FB021F" w:rsidRPr="00800D22" w:rsidRDefault="00FB021F" w:rsidP="000A32F1">
            <w:pPr>
              <w:adjustRightInd w:val="0"/>
              <w:rPr>
                <w:sz w:val="18"/>
                <w:szCs w:val="18"/>
              </w:rPr>
            </w:pPr>
            <w:r w:rsidRPr="00800D22">
              <w:rPr>
                <w:sz w:val="18"/>
                <w:szCs w:val="18"/>
              </w:rPr>
              <w:t>2007</w:t>
            </w:r>
            <w:r w:rsidRPr="00800D22">
              <w:rPr>
                <w:sz w:val="18"/>
                <w:szCs w:val="18"/>
              </w:rPr>
              <w:t>年兴元一期信贷资产证券化信托</w:t>
            </w:r>
          </w:p>
        </w:tc>
        <w:tc>
          <w:tcPr>
            <w:tcW w:w="1394" w:type="pct"/>
            <w:vAlign w:val="center"/>
          </w:tcPr>
          <w:p w14:paraId="070B3743" w14:textId="77777777" w:rsidR="00FB021F" w:rsidRPr="00800D22" w:rsidRDefault="00FB021F" w:rsidP="000A32F1">
            <w:pPr>
              <w:adjustRightInd w:val="0"/>
              <w:rPr>
                <w:sz w:val="18"/>
                <w:szCs w:val="18"/>
              </w:rPr>
            </w:pPr>
            <w:r w:rsidRPr="00800D22">
              <w:rPr>
                <w:sz w:val="18"/>
                <w:szCs w:val="18"/>
              </w:rPr>
              <w:t>兴业银行股份有限公司</w:t>
            </w:r>
          </w:p>
        </w:tc>
        <w:tc>
          <w:tcPr>
            <w:tcW w:w="655" w:type="pct"/>
            <w:vAlign w:val="center"/>
          </w:tcPr>
          <w:p w14:paraId="5453C793" w14:textId="77777777" w:rsidR="00FB021F" w:rsidRPr="00800D22" w:rsidRDefault="00FB021F" w:rsidP="000A32F1">
            <w:pPr>
              <w:adjustRightInd w:val="0"/>
              <w:rPr>
                <w:sz w:val="18"/>
                <w:szCs w:val="18"/>
              </w:rPr>
            </w:pPr>
            <w:r w:rsidRPr="00800D22">
              <w:rPr>
                <w:sz w:val="18"/>
                <w:szCs w:val="18"/>
              </w:rPr>
              <w:t>信贷资产</w:t>
            </w:r>
          </w:p>
        </w:tc>
        <w:tc>
          <w:tcPr>
            <w:tcW w:w="1473" w:type="pct"/>
            <w:vAlign w:val="center"/>
          </w:tcPr>
          <w:p w14:paraId="2D1C421F"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69C82E09" w14:textId="77777777" w:rsidTr="000A32F1">
        <w:trPr>
          <w:trHeight w:val="703"/>
        </w:trPr>
        <w:tc>
          <w:tcPr>
            <w:tcW w:w="250" w:type="pct"/>
            <w:vMerge/>
            <w:vAlign w:val="center"/>
          </w:tcPr>
          <w:p w14:paraId="0E2FD7A1" w14:textId="77777777" w:rsidR="00FB021F" w:rsidRPr="00800D22" w:rsidRDefault="00FB021F" w:rsidP="000A32F1">
            <w:pPr>
              <w:adjustRightInd w:val="0"/>
              <w:rPr>
                <w:sz w:val="18"/>
                <w:szCs w:val="18"/>
              </w:rPr>
            </w:pPr>
          </w:p>
        </w:tc>
        <w:tc>
          <w:tcPr>
            <w:tcW w:w="1229" w:type="pct"/>
            <w:vAlign w:val="center"/>
          </w:tcPr>
          <w:p w14:paraId="5C700404" w14:textId="77777777" w:rsidR="00FB021F" w:rsidRPr="00800D22" w:rsidRDefault="00FB021F" w:rsidP="000A32F1">
            <w:pPr>
              <w:adjustRightInd w:val="0"/>
              <w:rPr>
                <w:sz w:val="18"/>
                <w:szCs w:val="18"/>
              </w:rPr>
            </w:pPr>
            <w:r w:rsidRPr="00800D22">
              <w:rPr>
                <w:sz w:val="18"/>
                <w:szCs w:val="18"/>
              </w:rPr>
              <w:t>浦发</w:t>
            </w:r>
            <w:r w:rsidRPr="00800D22">
              <w:rPr>
                <w:sz w:val="18"/>
                <w:szCs w:val="18"/>
              </w:rPr>
              <w:t>2007</w:t>
            </w:r>
            <w:r w:rsidRPr="00800D22">
              <w:rPr>
                <w:sz w:val="18"/>
                <w:szCs w:val="18"/>
              </w:rPr>
              <w:t>年第一期信贷资产证券化信托</w:t>
            </w:r>
          </w:p>
        </w:tc>
        <w:tc>
          <w:tcPr>
            <w:tcW w:w="1394" w:type="pct"/>
            <w:vAlign w:val="center"/>
          </w:tcPr>
          <w:p w14:paraId="50570710" w14:textId="77777777" w:rsidR="00FB021F" w:rsidRPr="00800D22" w:rsidRDefault="00FB021F" w:rsidP="000A32F1">
            <w:pPr>
              <w:adjustRightInd w:val="0"/>
              <w:rPr>
                <w:sz w:val="18"/>
                <w:szCs w:val="18"/>
              </w:rPr>
            </w:pPr>
            <w:r w:rsidRPr="00800D22">
              <w:rPr>
                <w:sz w:val="18"/>
                <w:szCs w:val="18"/>
              </w:rPr>
              <w:t>上海浦东发展银行</w:t>
            </w:r>
            <w:r w:rsidRPr="00800D22">
              <w:rPr>
                <w:rFonts w:hint="eastAsia"/>
                <w:sz w:val="18"/>
                <w:szCs w:val="18"/>
              </w:rPr>
              <w:t>股份有限公司</w:t>
            </w:r>
          </w:p>
        </w:tc>
        <w:tc>
          <w:tcPr>
            <w:tcW w:w="655" w:type="pct"/>
            <w:vAlign w:val="center"/>
          </w:tcPr>
          <w:p w14:paraId="35B6C316" w14:textId="77777777" w:rsidR="00FB021F" w:rsidRPr="00800D22" w:rsidRDefault="00FB021F" w:rsidP="000A32F1">
            <w:pPr>
              <w:adjustRightInd w:val="0"/>
              <w:rPr>
                <w:sz w:val="18"/>
                <w:szCs w:val="18"/>
              </w:rPr>
            </w:pPr>
            <w:r w:rsidRPr="00800D22">
              <w:rPr>
                <w:sz w:val="18"/>
                <w:szCs w:val="18"/>
              </w:rPr>
              <w:t>信贷资产</w:t>
            </w:r>
          </w:p>
        </w:tc>
        <w:tc>
          <w:tcPr>
            <w:tcW w:w="1473" w:type="pct"/>
            <w:vAlign w:val="center"/>
          </w:tcPr>
          <w:p w14:paraId="3F66E767"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bl>
    <w:p w14:paraId="3F9B0462" w14:textId="77777777" w:rsidR="00FB021F" w:rsidRPr="00800D22" w:rsidRDefault="00FB021F" w:rsidP="00FB021F">
      <w:pPr>
        <w:autoSpaceDE w:val="0"/>
        <w:autoSpaceDN w:val="0"/>
        <w:spacing w:beforeLines="100" w:before="312" w:line="440" w:lineRule="exact"/>
        <w:ind w:firstLineChars="200" w:firstLine="420"/>
        <w:jc w:val="right"/>
        <w:rPr>
          <w:kern w:val="0"/>
          <w:szCs w:val="21"/>
        </w:rPr>
      </w:pPr>
      <w:r w:rsidRPr="00800D22">
        <w:rPr>
          <w:rFonts w:hint="eastAsia"/>
          <w:kern w:val="0"/>
          <w:szCs w:val="21"/>
        </w:rPr>
        <w:t>（续表）</w:t>
      </w:r>
    </w:p>
    <w:tbl>
      <w:tblPr>
        <w:tblW w:w="4969" w:type="pct"/>
        <w:tblBorders>
          <w:top w:val="single" w:sz="4" w:space="0" w:color="auto"/>
          <w:bottom w:val="single" w:sz="4" w:space="0" w:color="auto"/>
        </w:tblBorders>
        <w:tblLook w:val="0000" w:firstRow="0" w:lastRow="0" w:firstColumn="0" w:lastColumn="0" w:noHBand="0" w:noVBand="0"/>
      </w:tblPr>
      <w:tblGrid>
        <w:gridCol w:w="467"/>
        <w:gridCol w:w="2575"/>
        <w:gridCol w:w="1801"/>
        <w:gridCol w:w="1258"/>
        <w:gridCol w:w="2368"/>
      </w:tblGrid>
      <w:tr w:rsidR="00FB021F" w:rsidRPr="00800D22" w14:paraId="2C67C434" w14:textId="77777777" w:rsidTr="000A32F1">
        <w:trPr>
          <w:trHeight w:val="389"/>
        </w:trPr>
        <w:tc>
          <w:tcPr>
            <w:tcW w:w="276" w:type="pct"/>
            <w:tcBorders>
              <w:top w:val="single" w:sz="4" w:space="0" w:color="auto"/>
              <w:bottom w:val="single" w:sz="4" w:space="0" w:color="auto"/>
            </w:tcBorders>
            <w:vAlign w:val="center"/>
          </w:tcPr>
          <w:p w14:paraId="3903F9C5" w14:textId="77777777" w:rsidR="00FB021F" w:rsidRPr="00800D22" w:rsidRDefault="00FB021F" w:rsidP="000A32F1">
            <w:pPr>
              <w:adjustRightInd w:val="0"/>
              <w:rPr>
                <w:szCs w:val="21"/>
              </w:rPr>
            </w:pPr>
            <w:r w:rsidRPr="00800D22">
              <w:rPr>
                <w:rFonts w:hint="eastAsia"/>
                <w:szCs w:val="21"/>
              </w:rPr>
              <w:t>类型</w:t>
            </w:r>
          </w:p>
        </w:tc>
        <w:tc>
          <w:tcPr>
            <w:tcW w:w="1520" w:type="pct"/>
            <w:tcBorders>
              <w:top w:val="single" w:sz="4" w:space="0" w:color="auto"/>
              <w:bottom w:val="single" w:sz="4" w:space="0" w:color="auto"/>
            </w:tcBorders>
            <w:vAlign w:val="center"/>
          </w:tcPr>
          <w:p w14:paraId="6891D00F" w14:textId="77777777" w:rsidR="00FB021F" w:rsidRPr="00800D22" w:rsidRDefault="00FB021F" w:rsidP="000A32F1">
            <w:pPr>
              <w:adjustRightInd w:val="0"/>
              <w:rPr>
                <w:szCs w:val="21"/>
              </w:rPr>
            </w:pPr>
            <w:r w:rsidRPr="00800D22">
              <w:rPr>
                <w:szCs w:val="21"/>
              </w:rPr>
              <w:t>名称</w:t>
            </w:r>
          </w:p>
        </w:tc>
        <w:tc>
          <w:tcPr>
            <w:tcW w:w="1063" w:type="pct"/>
            <w:tcBorders>
              <w:top w:val="single" w:sz="4" w:space="0" w:color="auto"/>
              <w:bottom w:val="single" w:sz="4" w:space="0" w:color="auto"/>
            </w:tcBorders>
            <w:noWrap/>
            <w:vAlign w:val="center"/>
          </w:tcPr>
          <w:p w14:paraId="3CE7B2F4" w14:textId="77777777" w:rsidR="00FB021F" w:rsidRPr="00800D22" w:rsidRDefault="00FB021F" w:rsidP="000A32F1">
            <w:pPr>
              <w:adjustRightInd w:val="0"/>
              <w:rPr>
                <w:szCs w:val="21"/>
              </w:rPr>
            </w:pPr>
            <w:r w:rsidRPr="00800D22">
              <w:rPr>
                <w:szCs w:val="21"/>
              </w:rPr>
              <w:t>发行人</w:t>
            </w:r>
          </w:p>
        </w:tc>
        <w:tc>
          <w:tcPr>
            <w:tcW w:w="743" w:type="pct"/>
            <w:tcBorders>
              <w:top w:val="single" w:sz="4" w:space="0" w:color="auto"/>
              <w:bottom w:val="single" w:sz="4" w:space="0" w:color="auto"/>
            </w:tcBorders>
            <w:vAlign w:val="center"/>
          </w:tcPr>
          <w:p w14:paraId="1FC91CE0" w14:textId="77777777" w:rsidR="00FB021F" w:rsidRPr="00800D22" w:rsidRDefault="00FB021F" w:rsidP="000A32F1">
            <w:pPr>
              <w:adjustRightInd w:val="0"/>
              <w:rPr>
                <w:szCs w:val="21"/>
              </w:rPr>
            </w:pPr>
            <w:r w:rsidRPr="00800D22">
              <w:rPr>
                <w:szCs w:val="21"/>
              </w:rPr>
              <w:t>基础资产</w:t>
            </w:r>
          </w:p>
        </w:tc>
        <w:tc>
          <w:tcPr>
            <w:tcW w:w="1398" w:type="pct"/>
            <w:tcBorders>
              <w:top w:val="single" w:sz="4" w:space="0" w:color="auto"/>
              <w:bottom w:val="single" w:sz="4" w:space="0" w:color="auto"/>
            </w:tcBorders>
            <w:noWrap/>
            <w:vAlign w:val="center"/>
          </w:tcPr>
          <w:p w14:paraId="016575E0" w14:textId="77777777" w:rsidR="00FB021F" w:rsidRPr="00800D22" w:rsidRDefault="00FB021F" w:rsidP="000A32F1">
            <w:pPr>
              <w:adjustRightInd w:val="0"/>
              <w:rPr>
                <w:szCs w:val="21"/>
              </w:rPr>
            </w:pPr>
            <w:r w:rsidRPr="00800D22">
              <w:rPr>
                <w:szCs w:val="21"/>
              </w:rPr>
              <w:t>信用増级方式</w:t>
            </w:r>
          </w:p>
        </w:tc>
      </w:tr>
      <w:tr w:rsidR="00FB021F" w:rsidRPr="00800D22" w14:paraId="037DE556" w14:textId="77777777" w:rsidTr="000A32F1">
        <w:trPr>
          <w:trHeight w:val="703"/>
        </w:trPr>
        <w:tc>
          <w:tcPr>
            <w:tcW w:w="276" w:type="pct"/>
            <w:vMerge w:val="restart"/>
            <w:vAlign w:val="center"/>
          </w:tcPr>
          <w:p w14:paraId="23DED0B7" w14:textId="77777777" w:rsidR="00FB021F" w:rsidRPr="00800D22" w:rsidRDefault="00FB021F" w:rsidP="000A32F1">
            <w:pPr>
              <w:adjustRightInd w:val="0"/>
              <w:rPr>
                <w:sz w:val="18"/>
                <w:szCs w:val="18"/>
              </w:rPr>
            </w:pPr>
            <w:r w:rsidRPr="00800D22">
              <w:rPr>
                <w:sz w:val="18"/>
                <w:szCs w:val="18"/>
              </w:rPr>
              <w:t>信贷资产证券化</w:t>
            </w:r>
          </w:p>
        </w:tc>
        <w:tc>
          <w:tcPr>
            <w:tcW w:w="1520" w:type="pct"/>
            <w:vAlign w:val="center"/>
          </w:tcPr>
          <w:p w14:paraId="35F9C8F2" w14:textId="77777777" w:rsidR="00FB021F" w:rsidRPr="00800D22" w:rsidRDefault="00FB021F" w:rsidP="000A32F1">
            <w:pPr>
              <w:adjustRightInd w:val="0"/>
              <w:rPr>
                <w:sz w:val="18"/>
                <w:szCs w:val="18"/>
              </w:rPr>
            </w:pPr>
            <w:r w:rsidRPr="00800D22">
              <w:rPr>
                <w:sz w:val="18"/>
                <w:szCs w:val="18"/>
              </w:rPr>
              <w:t>中国工商银行</w:t>
            </w:r>
            <w:r w:rsidRPr="00800D22">
              <w:rPr>
                <w:sz w:val="18"/>
                <w:szCs w:val="18"/>
              </w:rPr>
              <w:t>2007</w:t>
            </w:r>
            <w:r w:rsidRPr="00800D22">
              <w:rPr>
                <w:sz w:val="18"/>
                <w:szCs w:val="18"/>
              </w:rPr>
              <w:t>年</w:t>
            </w:r>
            <w:r w:rsidRPr="00800D22">
              <w:rPr>
                <w:rFonts w:hint="eastAsia"/>
                <w:sz w:val="18"/>
                <w:szCs w:val="18"/>
              </w:rPr>
              <w:t>工</w:t>
            </w:r>
            <w:r w:rsidRPr="00800D22">
              <w:rPr>
                <w:sz w:val="18"/>
                <w:szCs w:val="18"/>
              </w:rPr>
              <w:t>元一期信贷资产支持证券</w:t>
            </w:r>
          </w:p>
        </w:tc>
        <w:tc>
          <w:tcPr>
            <w:tcW w:w="1063" w:type="pct"/>
            <w:vAlign w:val="center"/>
          </w:tcPr>
          <w:p w14:paraId="4A9EC08C" w14:textId="77777777" w:rsidR="00FB021F" w:rsidRPr="00800D22" w:rsidRDefault="00FB021F" w:rsidP="000A32F1">
            <w:pPr>
              <w:adjustRightInd w:val="0"/>
              <w:rPr>
                <w:sz w:val="18"/>
                <w:szCs w:val="18"/>
              </w:rPr>
            </w:pPr>
            <w:r w:rsidRPr="00800D22">
              <w:rPr>
                <w:sz w:val="18"/>
                <w:szCs w:val="18"/>
              </w:rPr>
              <w:t>中国工商银行</w:t>
            </w:r>
            <w:r w:rsidRPr="00800D22">
              <w:rPr>
                <w:rFonts w:hint="eastAsia"/>
                <w:sz w:val="18"/>
                <w:szCs w:val="18"/>
              </w:rPr>
              <w:t>股份有限公司</w:t>
            </w:r>
          </w:p>
        </w:tc>
        <w:tc>
          <w:tcPr>
            <w:tcW w:w="743" w:type="pct"/>
            <w:vAlign w:val="center"/>
          </w:tcPr>
          <w:p w14:paraId="474D87BC" w14:textId="77777777" w:rsidR="00FB021F" w:rsidRPr="00800D22" w:rsidRDefault="00FB021F" w:rsidP="000A32F1">
            <w:pPr>
              <w:adjustRightInd w:val="0"/>
              <w:rPr>
                <w:sz w:val="18"/>
                <w:szCs w:val="18"/>
              </w:rPr>
            </w:pPr>
            <w:r w:rsidRPr="00800D22">
              <w:rPr>
                <w:sz w:val="18"/>
                <w:szCs w:val="18"/>
              </w:rPr>
              <w:t>信贷资产</w:t>
            </w:r>
          </w:p>
        </w:tc>
        <w:tc>
          <w:tcPr>
            <w:tcW w:w="1398" w:type="pct"/>
            <w:vAlign w:val="center"/>
          </w:tcPr>
          <w:p w14:paraId="045D1F14"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高收益档；超额利息收入；流动性支持</w:t>
            </w:r>
          </w:p>
        </w:tc>
      </w:tr>
      <w:tr w:rsidR="00FB021F" w:rsidRPr="00800D22" w14:paraId="23C005FA" w14:textId="77777777" w:rsidTr="000A32F1">
        <w:trPr>
          <w:trHeight w:val="703"/>
        </w:trPr>
        <w:tc>
          <w:tcPr>
            <w:tcW w:w="276" w:type="pct"/>
            <w:vMerge/>
            <w:vAlign w:val="center"/>
          </w:tcPr>
          <w:p w14:paraId="0FD3C805" w14:textId="77777777" w:rsidR="00FB021F" w:rsidRPr="00800D22" w:rsidRDefault="00FB021F" w:rsidP="000A32F1">
            <w:pPr>
              <w:adjustRightInd w:val="0"/>
              <w:rPr>
                <w:sz w:val="18"/>
                <w:szCs w:val="18"/>
              </w:rPr>
            </w:pPr>
          </w:p>
        </w:tc>
        <w:tc>
          <w:tcPr>
            <w:tcW w:w="1520" w:type="pct"/>
            <w:vAlign w:val="center"/>
          </w:tcPr>
          <w:p w14:paraId="4AAD2EFF" w14:textId="77777777" w:rsidR="00FB021F" w:rsidRPr="00800D22" w:rsidRDefault="00FB021F" w:rsidP="000A32F1">
            <w:pPr>
              <w:adjustRightInd w:val="0"/>
              <w:rPr>
                <w:sz w:val="18"/>
                <w:szCs w:val="18"/>
              </w:rPr>
            </w:pPr>
            <w:r w:rsidRPr="00800D22">
              <w:rPr>
                <w:sz w:val="18"/>
                <w:szCs w:val="18"/>
              </w:rPr>
              <w:t>建元</w:t>
            </w:r>
            <w:r w:rsidRPr="00800D22">
              <w:rPr>
                <w:sz w:val="18"/>
                <w:szCs w:val="18"/>
              </w:rPr>
              <w:t>2007-1</w:t>
            </w:r>
            <w:r w:rsidRPr="00800D22">
              <w:rPr>
                <w:sz w:val="18"/>
                <w:szCs w:val="18"/>
              </w:rPr>
              <w:t>个人住房抵押贷款证券化信托</w:t>
            </w:r>
          </w:p>
        </w:tc>
        <w:tc>
          <w:tcPr>
            <w:tcW w:w="1063" w:type="pct"/>
            <w:vAlign w:val="center"/>
          </w:tcPr>
          <w:p w14:paraId="70F0DBE7" w14:textId="77777777" w:rsidR="00FB021F" w:rsidRPr="00800D22" w:rsidRDefault="00FB021F" w:rsidP="000A32F1">
            <w:pPr>
              <w:adjustRightInd w:val="0"/>
              <w:rPr>
                <w:sz w:val="18"/>
                <w:szCs w:val="18"/>
              </w:rPr>
            </w:pPr>
            <w:r w:rsidRPr="00800D22">
              <w:rPr>
                <w:sz w:val="18"/>
                <w:szCs w:val="18"/>
              </w:rPr>
              <w:t>中国建设银行</w:t>
            </w:r>
            <w:r w:rsidRPr="00800D22">
              <w:rPr>
                <w:rFonts w:hint="eastAsia"/>
                <w:sz w:val="18"/>
                <w:szCs w:val="18"/>
              </w:rPr>
              <w:t>股份有限公司</w:t>
            </w:r>
          </w:p>
        </w:tc>
        <w:tc>
          <w:tcPr>
            <w:tcW w:w="743" w:type="pct"/>
            <w:vAlign w:val="center"/>
          </w:tcPr>
          <w:p w14:paraId="63312301" w14:textId="77777777" w:rsidR="00FB021F" w:rsidRPr="00800D22" w:rsidRDefault="00FB021F" w:rsidP="000A32F1">
            <w:pPr>
              <w:adjustRightInd w:val="0"/>
              <w:rPr>
                <w:sz w:val="18"/>
                <w:szCs w:val="18"/>
              </w:rPr>
            </w:pPr>
            <w:r w:rsidRPr="00800D22">
              <w:rPr>
                <w:sz w:val="18"/>
                <w:szCs w:val="18"/>
              </w:rPr>
              <w:t>个人住房抵押贷款</w:t>
            </w:r>
          </w:p>
        </w:tc>
        <w:tc>
          <w:tcPr>
            <w:tcW w:w="1398" w:type="pct"/>
            <w:vAlign w:val="center"/>
          </w:tcPr>
          <w:p w14:paraId="6F18C164"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次级；设立信托储备</w:t>
            </w:r>
            <w:r w:rsidRPr="00800D22">
              <w:rPr>
                <w:rFonts w:hint="eastAsia"/>
                <w:sz w:val="18"/>
                <w:szCs w:val="18"/>
              </w:rPr>
              <w:t>账户</w:t>
            </w:r>
          </w:p>
        </w:tc>
      </w:tr>
      <w:tr w:rsidR="00FB021F" w:rsidRPr="00800D22" w14:paraId="7859E02C" w14:textId="77777777" w:rsidTr="000A32F1">
        <w:trPr>
          <w:trHeight w:val="703"/>
        </w:trPr>
        <w:tc>
          <w:tcPr>
            <w:tcW w:w="276" w:type="pct"/>
            <w:vMerge/>
            <w:vAlign w:val="center"/>
          </w:tcPr>
          <w:p w14:paraId="18B209FC" w14:textId="77777777" w:rsidR="00FB021F" w:rsidRPr="00800D22" w:rsidRDefault="00FB021F" w:rsidP="000A32F1">
            <w:pPr>
              <w:adjustRightInd w:val="0"/>
              <w:rPr>
                <w:sz w:val="18"/>
                <w:szCs w:val="18"/>
              </w:rPr>
            </w:pPr>
          </w:p>
        </w:tc>
        <w:tc>
          <w:tcPr>
            <w:tcW w:w="1520" w:type="pct"/>
            <w:vAlign w:val="center"/>
          </w:tcPr>
          <w:p w14:paraId="0135CAF0" w14:textId="77777777" w:rsidR="00FB021F" w:rsidRPr="00800D22" w:rsidRDefault="00FB021F" w:rsidP="000A32F1">
            <w:pPr>
              <w:adjustRightInd w:val="0"/>
              <w:rPr>
                <w:sz w:val="18"/>
                <w:szCs w:val="18"/>
              </w:rPr>
            </w:pPr>
            <w:r w:rsidRPr="00800D22">
              <w:rPr>
                <w:sz w:val="18"/>
                <w:szCs w:val="18"/>
              </w:rPr>
              <w:t>通元</w:t>
            </w:r>
            <w:r w:rsidRPr="00800D22">
              <w:rPr>
                <w:sz w:val="18"/>
                <w:szCs w:val="18"/>
              </w:rPr>
              <w:t>2008</w:t>
            </w:r>
            <w:r w:rsidRPr="00800D22">
              <w:rPr>
                <w:sz w:val="18"/>
                <w:szCs w:val="18"/>
              </w:rPr>
              <w:t>年第一期个人汽车抵押贷款证券化信托</w:t>
            </w:r>
          </w:p>
        </w:tc>
        <w:tc>
          <w:tcPr>
            <w:tcW w:w="1063" w:type="pct"/>
            <w:vAlign w:val="center"/>
          </w:tcPr>
          <w:p w14:paraId="07B70A1F" w14:textId="77777777" w:rsidR="00FB021F" w:rsidRPr="00800D22" w:rsidRDefault="00FB021F" w:rsidP="000A32F1">
            <w:pPr>
              <w:adjustRightInd w:val="0"/>
              <w:rPr>
                <w:sz w:val="18"/>
                <w:szCs w:val="18"/>
              </w:rPr>
            </w:pPr>
            <w:r w:rsidRPr="00800D22">
              <w:rPr>
                <w:sz w:val="18"/>
                <w:szCs w:val="18"/>
              </w:rPr>
              <w:t>上海通用汽车金融有限责任公司</w:t>
            </w:r>
          </w:p>
        </w:tc>
        <w:tc>
          <w:tcPr>
            <w:tcW w:w="743" w:type="pct"/>
            <w:vAlign w:val="center"/>
          </w:tcPr>
          <w:p w14:paraId="140BEBD5" w14:textId="77777777" w:rsidR="00FB021F" w:rsidRPr="00800D22" w:rsidRDefault="00FB021F" w:rsidP="000A32F1">
            <w:pPr>
              <w:adjustRightInd w:val="0"/>
              <w:rPr>
                <w:sz w:val="18"/>
                <w:szCs w:val="18"/>
              </w:rPr>
            </w:pPr>
            <w:r w:rsidRPr="00800D22">
              <w:rPr>
                <w:sz w:val="18"/>
                <w:szCs w:val="18"/>
              </w:rPr>
              <w:t>个人汽车抵押贷款</w:t>
            </w:r>
          </w:p>
        </w:tc>
        <w:tc>
          <w:tcPr>
            <w:tcW w:w="1398" w:type="pct"/>
            <w:vAlign w:val="center"/>
          </w:tcPr>
          <w:p w14:paraId="2862FB92"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次级；设立信托储备</w:t>
            </w:r>
            <w:r w:rsidRPr="00800D22">
              <w:rPr>
                <w:rFonts w:hint="eastAsia"/>
                <w:sz w:val="18"/>
                <w:szCs w:val="18"/>
              </w:rPr>
              <w:t>账户</w:t>
            </w:r>
          </w:p>
        </w:tc>
      </w:tr>
      <w:tr w:rsidR="00FB021F" w:rsidRPr="00800D22" w14:paraId="0F78BE46" w14:textId="77777777" w:rsidTr="000A32F1">
        <w:trPr>
          <w:trHeight w:val="703"/>
        </w:trPr>
        <w:tc>
          <w:tcPr>
            <w:tcW w:w="276" w:type="pct"/>
            <w:vMerge/>
            <w:vAlign w:val="center"/>
          </w:tcPr>
          <w:p w14:paraId="2AF9EF29" w14:textId="77777777" w:rsidR="00FB021F" w:rsidRPr="00800D22" w:rsidRDefault="00FB021F" w:rsidP="000A32F1">
            <w:pPr>
              <w:adjustRightInd w:val="0"/>
              <w:rPr>
                <w:sz w:val="18"/>
                <w:szCs w:val="18"/>
              </w:rPr>
            </w:pPr>
          </w:p>
        </w:tc>
        <w:tc>
          <w:tcPr>
            <w:tcW w:w="1520" w:type="pct"/>
            <w:vAlign w:val="center"/>
          </w:tcPr>
          <w:p w14:paraId="5158BACE" w14:textId="77777777" w:rsidR="00FB021F" w:rsidRPr="00800D22" w:rsidRDefault="00FB021F" w:rsidP="000A32F1">
            <w:pPr>
              <w:adjustRightInd w:val="0"/>
              <w:rPr>
                <w:sz w:val="18"/>
                <w:szCs w:val="18"/>
              </w:rPr>
            </w:pPr>
            <w:r w:rsidRPr="00800D22">
              <w:rPr>
                <w:sz w:val="18"/>
                <w:szCs w:val="18"/>
              </w:rPr>
              <w:t>工元</w:t>
            </w:r>
            <w:r w:rsidRPr="00800D22">
              <w:rPr>
                <w:sz w:val="18"/>
                <w:szCs w:val="18"/>
              </w:rPr>
              <w:t>2008</w:t>
            </w:r>
            <w:r w:rsidRPr="00800D22">
              <w:rPr>
                <w:sz w:val="18"/>
                <w:szCs w:val="18"/>
              </w:rPr>
              <w:t>年第一期信贷资产证券化信托</w:t>
            </w:r>
          </w:p>
        </w:tc>
        <w:tc>
          <w:tcPr>
            <w:tcW w:w="1063" w:type="pct"/>
            <w:vAlign w:val="center"/>
          </w:tcPr>
          <w:p w14:paraId="5403528B" w14:textId="77777777" w:rsidR="00FB021F" w:rsidRPr="00800D22" w:rsidRDefault="00FB021F" w:rsidP="000A32F1">
            <w:pPr>
              <w:adjustRightInd w:val="0"/>
              <w:rPr>
                <w:sz w:val="18"/>
                <w:szCs w:val="18"/>
              </w:rPr>
            </w:pPr>
            <w:r w:rsidRPr="00800D22">
              <w:rPr>
                <w:sz w:val="18"/>
                <w:szCs w:val="18"/>
              </w:rPr>
              <w:t>中国工商银行</w:t>
            </w:r>
            <w:r w:rsidRPr="00800D22">
              <w:rPr>
                <w:rFonts w:hint="eastAsia"/>
                <w:sz w:val="18"/>
                <w:szCs w:val="18"/>
              </w:rPr>
              <w:t>股份有限公司</w:t>
            </w:r>
          </w:p>
        </w:tc>
        <w:tc>
          <w:tcPr>
            <w:tcW w:w="743" w:type="pct"/>
            <w:vAlign w:val="center"/>
          </w:tcPr>
          <w:p w14:paraId="1E8272F1" w14:textId="77777777" w:rsidR="00FB021F" w:rsidRPr="00800D22" w:rsidRDefault="00FB021F" w:rsidP="000A32F1">
            <w:pPr>
              <w:adjustRightInd w:val="0"/>
              <w:rPr>
                <w:sz w:val="18"/>
                <w:szCs w:val="18"/>
              </w:rPr>
            </w:pPr>
            <w:r w:rsidRPr="00800D22">
              <w:rPr>
                <w:sz w:val="18"/>
                <w:szCs w:val="18"/>
              </w:rPr>
              <w:t>信贷资产</w:t>
            </w:r>
          </w:p>
        </w:tc>
        <w:tc>
          <w:tcPr>
            <w:tcW w:w="1398" w:type="pct"/>
            <w:vAlign w:val="center"/>
          </w:tcPr>
          <w:p w14:paraId="0D80563B"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次级；超额利息收入；流动性支持</w:t>
            </w:r>
          </w:p>
        </w:tc>
      </w:tr>
      <w:tr w:rsidR="00FB021F" w:rsidRPr="00800D22" w14:paraId="75F334D8" w14:textId="77777777" w:rsidTr="000A32F1">
        <w:trPr>
          <w:trHeight w:val="703"/>
        </w:trPr>
        <w:tc>
          <w:tcPr>
            <w:tcW w:w="276" w:type="pct"/>
            <w:vMerge/>
            <w:vAlign w:val="center"/>
          </w:tcPr>
          <w:p w14:paraId="262836AF" w14:textId="77777777" w:rsidR="00FB021F" w:rsidRPr="00800D22" w:rsidRDefault="00FB021F" w:rsidP="000A32F1">
            <w:pPr>
              <w:adjustRightInd w:val="0"/>
              <w:rPr>
                <w:sz w:val="18"/>
                <w:szCs w:val="18"/>
              </w:rPr>
            </w:pPr>
          </w:p>
        </w:tc>
        <w:tc>
          <w:tcPr>
            <w:tcW w:w="1520" w:type="pct"/>
            <w:vAlign w:val="center"/>
          </w:tcPr>
          <w:p w14:paraId="6FC69457" w14:textId="77777777" w:rsidR="00FB021F" w:rsidRPr="00800D22" w:rsidRDefault="00FB021F" w:rsidP="000A32F1">
            <w:pPr>
              <w:adjustRightInd w:val="0"/>
              <w:rPr>
                <w:sz w:val="18"/>
                <w:szCs w:val="18"/>
              </w:rPr>
            </w:pPr>
            <w:r w:rsidRPr="00800D22">
              <w:rPr>
                <w:sz w:val="18"/>
                <w:szCs w:val="18"/>
              </w:rPr>
              <w:t>建元</w:t>
            </w:r>
            <w:r w:rsidRPr="00800D22">
              <w:rPr>
                <w:sz w:val="18"/>
                <w:szCs w:val="18"/>
              </w:rPr>
              <w:t>2008-1</w:t>
            </w:r>
            <w:r w:rsidRPr="00800D22">
              <w:rPr>
                <w:sz w:val="18"/>
                <w:szCs w:val="18"/>
              </w:rPr>
              <w:t>重整资产证券化信托</w:t>
            </w:r>
          </w:p>
        </w:tc>
        <w:tc>
          <w:tcPr>
            <w:tcW w:w="1063" w:type="pct"/>
            <w:vAlign w:val="center"/>
          </w:tcPr>
          <w:p w14:paraId="3035B35C" w14:textId="77777777" w:rsidR="00FB021F" w:rsidRPr="00800D22" w:rsidRDefault="00FB021F" w:rsidP="000A32F1">
            <w:pPr>
              <w:adjustRightInd w:val="0"/>
              <w:rPr>
                <w:sz w:val="18"/>
                <w:szCs w:val="18"/>
              </w:rPr>
            </w:pPr>
            <w:r w:rsidRPr="00800D22">
              <w:rPr>
                <w:sz w:val="18"/>
                <w:szCs w:val="18"/>
              </w:rPr>
              <w:t>中国建设银行</w:t>
            </w:r>
            <w:r w:rsidRPr="00800D22">
              <w:rPr>
                <w:rFonts w:hint="eastAsia"/>
                <w:sz w:val="18"/>
                <w:szCs w:val="18"/>
              </w:rPr>
              <w:t>股份有限公司</w:t>
            </w:r>
          </w:p>
        </w:tc>
        <w:tc>
          <w:tcPr>
            <w:tcW w:w="743" w:type="pct"/>
            <w:vAlign w:val="center"/>
          </w:tcPr>
          <w:p w14:paraId="172E9DAD" w14:textId="77777777" w:rsidR="00FB021F" w:rsidRPr="00800D22" w:rsidRDefault="00FB021F" w:rsidP="000A32F1">
            <w:pPr>
              <w:adjustRightInd w:val="0"/>
              <w:rPr>
                <w:sz w:val="18"/>
                <w:szCs w:val="18"/>
              </w:rPr>
            </w:pPr>
            <w:r w:rsidRPr="00800D22">
              <w:rPr>
                <w:sz w:val="18"/>
                <w:szCs w:val="18"/>
              </w:rPr>
              <w:t>不良贷款</w:t>
            </w:r>
          </w:p>
        </w:tc>
        <w:tc>
          <w:tcPr>
            <w:tcW w:w="1398" w:type="pct"/>
            <w:vAlign w:val="center"/>
          </w:tcPr>
          <w:p w14:paraId="7263B3BC"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0267ACCE" w14:textId="77777777" w:rsidTr="000A32F1">
        <w:trPr>
          <w:trHeight w:val="703"/>
        </w:trPr>
        <w:tc>
          <w:tcPr>
            <w:tcW w:w="276" w:type="pct"/>
            <w:vMerge/>
            <w:vAlign w:val="center"/>
          </w:tcPr>
          <w:p w14:paraId="0E3F44EC" w14:textId="77777777" w:rsidR="00FB021F" w:rsidRPr="00800D22" w:rsidRDefault="00FB021F" w:rsidP="000A32F1">
            <w:pPr>
              <w:adjustRightInd w:val="0"/>
              <w:rPr>
                <w:sz w:val="18"/>
                <w:szCs w:val="18"/>
              </w:rPr>
            </w:pPr>
          </w:p>
        </w:tc>
        <w:tc>
          <w:tcPr>
            <w:tcW w:w="1520" w:type="pct"/>
            <w:vAlign w:val="center"/>
          </w:tcPr>
          <w:p w14:paraId="2C43CE5A" w14:textId="77777777" w:rsidR="00FB021F" w:rsidRPr="00800D22" w:rsidRDefault="00FB021F" w:rsidP="000A32F1">
            <w:pPr>
              <w:adjustRightInd w:val="0"/>
              <w:rPr>
                <w:sz w:val="18"/>
                <w:szCs w:val="18"/>
              </w:rPr>
            </w:pPr>
            <w:r w:rsidRPr="00800D22">
              <w:rPr>
                <w:sz w:val="18"/>
                <w:szCs w:val="18"/>
              </w:rPr>
              <w:t>2008</w:t>
            </w:r>
            <w:r w:rsidRPr="00800D22">
              <w:rPr>
                <w:sz w:val="18"/>
                <w:szCs w:val="18"/>
              </w:rPr>
              <w:t>年第一期开元信贷资产证券化信托</w:t>
            </w:r>
          </w:p>
        </w:tc>
        <w:tc>
          <w:tcPr>
            <w:tcW w:w="1063" w:type="pct"/>
            <w:vAlign w:val="center"/>
          </w:tcPr>
          <w:p w14:paraId="40502A83" w14:textId="77777777" w:rsidR="00FB021F" w:rsidRPr="00800D22" w:rsidRDefault="00FB021F" w:rsidP="000A32F1">
            <w:pPr>
              <w:adjustRightInd w:val="0"/>
              <w:rPr>
                <w:sz w:val="18"/>
                <w:szCs w:val="18"/>
              </w:rPr>
            </w:pPr>
            <w:r w:rsidRPr="00800D22">
              <w:rPr>
                <w:sz w:val="18"/>
                <w:szCs w:val="18"/>
              </w:rPr>
              <w:t>国家开发银行</w:t>
            </w:r>
            <w:r w:rsidRPr="00800D22">
              <w:rPr>
                <w:rFonts w:hint="eastAsia"/>
                <w:sz w:val="18"/>
                <w:szCs w:val="18"/>
              </w:rPr>
              <w:t>股份有限公司</w:t>
            </w:r>
          </w:p>
        </w:tc>
        <w:tc>
          <w:tcPr>
            <w:tcW w:w="743" w:type="pct"/>
            <w:vAlign w:val="center"/>
          </w:tcPr>
          <w:p w14:paraId="5E7BB8EE" w14:textId="77777777" w:rsidR="00FB021F" w:rsidRPr="00800D22" w:rsidRDefault="00FB021F" w:rsidP="000A32F1">
            <w:pPr>
              <w:adjustRightInd w:val="0"/>
              <w:rPr>
                <w:sz w:val="18"/>
                <w:szCs w:val="18"/>
              </w:rPr>
            </w:pPr>
            <w:r w:rsidRPr="00800D22">
              <w:rPr>
                <w:sz w:val="18"/>
                <w:szCs w:val="18"/>
              </w:rPr>
              <w:t>信贷资产</w:t>
            </w:r>
          </w:p>
        </w:tc>
        <w:tc>
          <w:tcPr>
            <w:tcW w:w="1398" w:type="pct"/>
            <w:vAlign w:val="center"/>
          </w:tcPr>
          <w:p w14:paraId="4B727E64"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2DAE08FC" w14:textId="77777777" w:rsidTr="000A32F1">
        <w:trPr>
          <w:trHeight w:val="703"/>
        </w:trPr>
        <w:tc>
          <w:tcPr>
            <w:tcW w:w="276" w:type="pct"/>
            <w:vMerge/>
            <w:vAlign w:val="center"/>
          </w:tcPr>
          <w:p w14:paraId="5E5D1295" w14:textId="77777777" w:rsidR="00FB021F" w:rsidRPr="00800D22" w:rsidRDefault="00FB021F" w:rsidP="000A32F1">
            <w:pPr>
              <w:adjustRightInd w:val="0"/>
              <w:rPr>
                <w:sz w:val="18"/>
                <w:szCs w:val="18"/>
              </w:rPr>
            </w:pPr>
          </w:p>
        </w:tc>
        <w:tc>
          <w:tcPr>
            <w:tcW w:w="1520" w:type="pct"/>
            <w:vAlign w:val="center"/>
          </w:tcPr>
          <w:p w14:paraId="339EBD5E" w14:textId="77777777" w:rsidR="00FB021F" w:rsidRPr="00800D22" w:rsidRDefault="00FB021F" w:rsidP="000A32F1">
            <w:pPr>
              <w:adjustRightInd w:val="0"/>
              <w:rPr>
                <w:sz w:val="18"/>
                <w:szCs w:val="18"/>
              </w:rPr>
            </w:pPr>
            <w:r w:rsidRPr="00800D22">
              <w:rPr>
                <w:sz w:val="18"/>
                <w:szCs w:val="18"/>
              </w:rPr>
              <w:t>信元</w:t>
            </w:r>
            <w:r w:rsidRPr="00800D22">
              <w:rPr>
                <w:sz w:val="18"/>
                <w:szCs w:val="18"/>
              </w:rPr>
              <w:t>2008-1</w:t>
            </w:r>
            <w:r w:rsidRPr="00800D22">
              <w:rPr>
                <w:sz w:val="18"/>
                <w:szCs w:val="18"/>
              </w:rPr>
              <w:t>重整资产证券化信托</w:t>
            </w:r>
          </w:p>
        </w:tc>
        <w:tc>
          <w:tcPr>
            <w:tcW w:w="1063" w:type="pct"/>
            <w:vAlign w:val="center"/>
          </w:tcPr>
          <w:p w14:paraId="6BD38474" w14:textId="77777777" w:rsidR="00FB021F" w:rsidRPr="00800D22" w:rsidRDefault="00FB021F" w:rsidP="000A32F1">
            <w:pPr>
              <w:adjustRightInd w:val="0"/>
              <w:rPr>
                <w:sz w:val="18"/>
                <w:szCs w:val="18"/>
              </w:rPr>
            </w:pPr>
            <w:r w:rsidRPr="00800D22">
              <w:rPr>
                <w:sz w:val="18"/>
                <w:szCs w:val="18"/>
              </w:rPr>
              <w:t>中国信达资产管理</w:t>
            </w:r>
            <w:r w:rsidRPr="00800D22">
              <w:rPr>
                <w:rFonts w:hint="eastAsia"/>
                <w:sz w:val="18"/>
                <w:szCs w:val="18"/>
              </w:rPr>
              <w:t>有限</w:t>
            </w:r>
            <w:r w:rsidRPr="00800D22">
              <w:rPr>
                <w:sz w:val="18"/>
                <w:szCs w:val="18"/>
              </w:rPr>
              <w:t>公司</w:t>
            </w:r>
          </w:p>
        </w:tc>
        <w:tc>
          <w:tcPr>
            <w:tcW w:w="743" w:type="pct"/>
            <w:vAlign w:val="center"/>
          </w:tcPr>
          <w:p w14:paraId="2C8D5705" w14:textId="77777777" w:rsidR="00FB021F" w:rsidRPr="00800D22" w:rsidRDefault="00FB021F" w:rsidP="000A32F1">
            <w:pPr>
              <w:adjustRightInd w:val="0"/>
              <w:rPr>
                <w:sz w:val="18"/>
                <w:szCs w:val="18"/>
              </w:rPr>
            </w:pPr>
            <w:r w:rsidRPr="00800D22">
              <w:rPr>
                <w:sz w:val="18"/>
                <w:szCs w:val="18"/>
              </w:rPr>
              <w:t>不良资产</w:t>
            </w:r>
          </w:p>
        </w:tc>
        <w:tc>
          <w:tcPr>
            <w:tcW w:w="1398" w:type="pct"/>
            <w:vAlign w:val="center"/>
          </w:tcPr>
          <w:p w14:paraId="45501E7A"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3BAA25B1" w14:textId="77777777" w:rsidTr="000A32F1">
        <w:trPr>
          <w:trHeight w:val="703"/>
        </w:trPr>
        <w:tc>
          <w:tcPr>
            <w:tcW w:w="276" w:type="pct"/>
            <w:vMerge/>
            <w:vAlign w:val="center"/>
          </w:tcPr>
          <w:p w14:paraId="089B7D26" w14:textId="77777777" w:rsidR="00FB021F" w:rsidRPr="00800D22" w:rsidRDefault="00FB021F" w:rsidP="000A32F1">
            <w:pPr>
              <w:adjustRightInd w:val="0"/>
              <w:rPr>
                <w:sz w:val="18"/>
                <w:szCs w:val="18"/>
              </w:rPr>
            </w:pPr>
          </w:p>
        </w:tc>
        <w:tc>
          <w:tcPr>
            <w:tcW w:w="1520" w:type="pct"/>
            <w:vAlign w:val="center"/>
          </w:tcPr>
          <w:p w14:paraId="501CC6DD" w14:textId="77777777" w:rsidR="00FB021F" w:rsidRPr="00800D22" w:rsidRDefault="00FB021F" w:rsidP="000A32F1">
            <w:pPr>
              <w:adjustRightInd w:val="0"/>
              <w:rPr>
                <w:sz w:val="18"/>
                <w:szCs w:val="18"/>
              </w:rPr>
            </w:pPr>
            <w:r w:rsidRPr="00800D22">
              <w:rPr>
                <w:sz w:val="18"/>
                <w:szCs w:val="18"/>
              </w:rPr>
              <w:t>信银</w:t>
            </w:r>
            <w:r w:rsidRPr="00800D22">
              <w:rPr>
                <w:sz w:val="18"/>
                <w:szCs w:val="18"/>
              </w:rPr>
              <w:t>2008</w:t>
            </w:r>
            <w:r w:rsidRPr="00800D22">
              <w:rPr>
                <w:sz w:val="18"/>
                <w:szCs w:val="18"/>
              </w:rPr>
              <w:t>年第一期信贷资产证券化信托</w:t>
            </w:r>
          </w:p>
        </w:tc>
        <w:tc>
          <w:tcPr>
            <w:tcW w:w="1063" w:type="pct"/>
            <w:vAlign w:val="center"/>
          </w:tcPr>
          <w:p w14:paraId="7B05DEA1" w14:textId="77777777" w:rsidR="00FB021F" w:rsidRPr="00800D22" w:rsidRDefault="00FB021F" w:rsidP="000A32F1">
            <w:pPr>
              <w:adjustRightInd w:val="0"/>
              <w:rPr>
                <w:sz w:val="18"/>
                <w:szCs w:val="18"/>
              </w:rPr>
            </w:pPr>
            <w:r w:rsidRPr="00800D22">
              <w:rPr>
                <w:sz w:val="18"/>
                <w:szCs w:val="18"/>
              </w:rPr>
              <w:t>中信银行股份有限公司</w:t>
            </w:r>
          </w:p>
        </w:tc>
        <w:tc>
          <w:tcPr>
            <w:tcW w:w="743" w:type="pct"/>
            <w:vAlign w:val="center"/>
          </w:tcPr>
          <w:p w14:paraId="2B3AB83B" w14:textId="77777777" w:rsidR="00FB021F" w:rsidRPr="00800D22" w:rsidRDefault="00FB021F" w:rsidP="000A32F1">
            <w:pPr>
              <w:adjustRightInd w:val="0"/>
              <w:rPr>
                <w:sz w:val="18"/>
                <w:szCs w:val="18"/>
              </w:rPr>
            </w:pPr>
            <w:r w:rsidRPr="00800D22">
              <w:rPr>
                <w:sz w:val="18"/>
                <w:szCs w:val="18"/>
              </w:rPr>
              <w:t>信贷资产</w:t>
            </w:r>
          </w:p>
        </w:tc>
        <w:tc>
          <w:tcPr>
            <w:tcW w:w="1398" w:type="pct"/>
            <w:vAlign w:val="center"/>
          </w:tcPr>
          <w:p w14:paraId="06BA7F16"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r w:rsidR="00FB021F" w:rsidRPr="00800D22" w14:paraId="7046439B" w14:textId="77777777" w:rsidTr="000A32F1">
        <w:trPr>
          <w:trHeight w:val="703"/>
        </w:trPr>
        <w:tc>
          <w:tcPr>
            <w:tcW w:w="276" w:type="pct"/>
            <w:vMerge/>
            <w:vAlign w:val="center"/>
          </w:tcPr>
          <w:p w14:paraId="0974C1B5" w14:textId="77777777" w:rsidR="00FB021F" w:rsidRPr="00800D22" w:rsidRDefault="00FB021F" w:rsidP="000A32F1">
            <w:pPr>
              <w:adjustRightInd w:val="0"/>
              <w:rPr>
                <w:sz w:val="18"/>
                <w:szCs w:val="18"/>
              </w:rPr>
            </w:pPr>
          </w:p>
        </w:tc>
        <w:tc>
          <w:tcPr>
            <w:tcW w:w="1520" w:type="pct"/>
            <w:vAlign w:val="center"/>
          </w:tcPr>
          <w:p w14:paraId="5F37FE64" w14:textId="77777777" w:rsidR="00FB021F" w:rsidRPr="00800D22" w:rsidRDefault="00FB021F" w:rsidP="000A32F1">
            <w:pPr>
              <w:adjustRightInd w:val="0"/>
              <w:rPr>
                <w:sz w:val="18"/>
                <w:szCs w:val="18"/>
              </w:rPr>
            </w:pPr>
            <w:r w:rsidRPr="00800D22">
              <w:rPr>
                <w:sz w:val="18"/>
                <w:szCs w:val="18"/>
              </w:rPr>
              <w:t>招元</w:t>
            </w:r>
            <w:r w:rsidRPr="00800D22">
              <w:rPr>
                <w:sz w:val="18"/>
                <w:szCs w:val="18"/>
              </w:rPr>
              <w:t>2008</w:t>
            </w:r>
            <w:r w:rsidRPr="00800D22">
              <w:rPr>
                <w:sz w:val="18"/>
                <w:szCs w:val="18"/>
              </w:rPr>
              <w:t>年第一期信贷资产证券化信托</w:t>
            </w:r>
          </w:p>
        </w:tc>
        <w:tc>
          <w:tcPr>
            <w:tcW w:w="1063" w:type="pct"/>
            <w:vAlign w:val="center"/>
          </w:tcPr>
          <w:p w14:paraId="022720AB" w14:textId="77777777" w:rsidR="00FB021F" w:rsidRPr="00800D22" w:rsidRDefault="00FB021F" w:rsidP="000A32F1">
            <w:pPr>
              <w:adjustRightInd w:val="0"/>
              <w:rPr>
                <w:sz w:val="18"/>
                <w:szCs w:val="18"/>
              </w:rPr>
            </w:pPr>
            <w:r w:rsidRPr="00800D22">
              <w:rPr>
                <w:sz w:val="18"/>
                <w:szCs w:val="18"/>
              </w:rPr>
              <w:t>招商银行股份有限公司</w:t>
            </w:r>
          </w:p>
        </w:tc>
        <w:tc>
          <w:tcPr>
            <w:tcW w:w="743" w:type="pct"/>
            <w:vAlign w:val="center"/>
          </w:tcPr>
          <w:p w14:paraId="321CE789" w14:textId="77777777" w:rsidR="00FB021F" w:rsidRPr="00800D22" w:rsidRDefault="00FB021F" w:rsidP="000A32F1">
            <w:pPr>
              <w:adjustRightInd w:val="0"/>
              <w:rPr>
                <w:sz w:val="18"/>
                <w:szCs w:val="18"/>
              </w:rPr>
            </w:pPr>
            <w:r w:rsidRPr="00800D22">
              <w:rPr>
                <w:sz w:val="18"/>
                <w:szCs w:val="18"/>
              </w:rPr>
              <w:t>信贷资产</w:t>
            </w:r>
          </w:p>
        </w:tc>
        <w:tc>
          <w:tcPr>
            <w:tcW w:w="1398" w:type="pct"/>
            <w:vAlign w:val="center"/>
          </w:tcPr>
          <w:p w14:paraId="19EB3B15"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次级；超额利息收入；储备</w:t>
            </w:r>
            <w:r w:rsidRPr="00800D22">
              <w:rPr>
                <w:rFonts w:hint="eastAsia"/>
                <w:sz w:val="18"/>
                <w:szCs w:val="18"/>
              </w:rPr>
              <w:t>账户</w:t>
            </w:r>
            <w:r w:rsidRPr="00800D22">
              <w:rPr>
                <w:sz w:val="18"/>
                <w:szCs w:val="18"/>
              </w:rPr>
              <w:t>；流动性支持</w:t>
            </w:r>
          </w:p>
        </w:tc>
      </w:tr>
      <w:tr w:rsidR="00FB021F" w:rsidRPr="00800D22" w14:paraId="6BB1A85A" w14:textId="77777777" w:rsidTr="000A32F1">
        <w:trPr>
          <w:trHeight w:val="703"/>
        </w:trPr>
        <w:tc>
          <w:tcPr>
            <w:tcW w:w="276" w:type="pct"/>
            <w:vMerge/>
            <w:vAlign w:val="center"/>
          </w:tcPr>
          <w:p w14:paraId="529C8D3D" w14:textId="77777777" w:rsidR="00FB021F" w:rsidRPr="00800D22" w:rsidRDefault="00FB021F" w:rsidP="000A32F1">
            <w:pPr>
              <w:adjustRightInd w:val="0"/>
              <w:rPr>
                <w:sz w:val="18"/>
                <w:szCs w:val="18"/>
              </w:rPr>
            </w:pPr>
          </w:p>
        </w:tc>
        <w:tc>
          <w:tcPr>
            <w:tcW w:w="1520" w:type="pct"/>
            <w:vAlign w:val="center"/>
          </w:tcPr>
          <w:p w14:paraId="5AE347C8" w14:textId="77777777" w:rsidR="00FB021F" w:rsidRPr="00800D22" w:rsidRDefault="00FB021F" w:rsidP="000A32F1">
            <w:pPr>
              <w:adjustRightInd w:val="0"/>
              <w:rPr>
                <w:sz w:val="18"/>
                <w:szCs w:val="18"/>
              </w:rPr>
            </w:pPr>
            <w:r w:rsidRPr="00800D22">
              <w:rPr>
                <w:sz w:val="18"/>
                <w:szCs w:val="18"/>
              </w:rPr>
              <w:t>浙元</w:t>
            </w:r>
            <w:r w:rsidRPr="00800D22">
              <w:rPr>
                <w:sz w:val="18"/>
                <w:szCs w:val="18"/>
              </w:rPr>
              <w:t>2008-1</w:t>
            </w:r>
            <w:r w:rsidRPr="00800D22">
              <w:rPr>
                <w:sz w:val="18"/>
                <w:szCs w:val="18"/>
              </w:rPr>
              <w:t>中小企业贷款证券化信托</w:t>
            </w:r>
          </w:p>
        </w:tc>
        <w:tc>
          <w:tcPr>
            <w:tcW w:w="1063" w:type="pct"/>
            <w:vAlign w:val="center"/>
          </w:tcPr>
          <w:p w14:paraId="5C45AFB4" w14:textId="77777777" w:rsidR="00FB021F" w:rsidRPr="00800D22" w:rsidRDefault="00FB021F" w:rsidP="000A32F1">
            <w:pPr>
              <w:adjustRightInd w:val="0"/>
              <w:rPr>
                <w:sz w:val="18"/>
                <w:szCs w:val="18"/>
              </w:rPr>
            </w:pPr>
            <w:r w:rsidRPr="00800D22">
              <w:rPr>
                <w:sz w:val="18"/>
                <w:szCs w:val="18"/>
              </w:rPr>
              <w:t>浙商银行股份有限公司</w:t>
            </w:r>
          </w:p>
        </w:tc>
        <w:tc>
          <w:tcPr>
            <w:tcW w:w="743" w:type="pct"/>
            <w:vAlign w:val="center"/>
          </w:tcPr>
          <w:p w14:paraId="78726361" w14:textId="77777777" w:rsidR="00FB021F" w:rsidRPr="00800D22" w:rsidRDefault="00FB021F" w:rsidP="000A32F1">
            <w:pPr>
              <w:adjustRightInd w:val="0"/>
              <w:rPr>
                <w:sz w:val="18"/>
                <w:szCs w:val="18"/>
              </w:rPr>
            </w:pPr>
            <w:r w:rsidRPr="00800D22">
              <w:rPr>
                <w:sz w:val="18"/>
                <w:szCs w:val="18"/>
              </w:rPr>
              <w:t>中小企业贷款</w:t>
            </w:r>
          </w:p>
        </w:tc>
        <w:tc>
          <w:tcPr>
            <w:tcW w:w="1398" w:type="pct"/>
            <w:vAlign w:val="center"/>
          </w:tcPr>
          <w:p w14:paraId="575B7C05" w14:textId="77777777" w:rsidR="00FB021F" w:rsidRPr="00800D22" w:rsidRDefault="00FB021F" w:rsidP="000A32F1">
            <w:pPr>
              <w:adjustRightInd w:val="0"/>
              <w:rPr>
                <w:sz w:val="18"/>
                <w:szCs w:val="18"/>
              </w:rPr>
            </w:pPr>
            <w:r w:rsidRPr="00800D22">
              <w:rPr>
                <w:sz w:val="18"/>
                <w:szCs w:val="18"/>
              </w:rPr>
              <w:t>分优先级</w:t>
            </w:r>
            <w:r w:rsidRPr="00800D22">
              <w:rPr>
                <w:sz w:val="18"/>
                <w:szCs w:val="18"/>
              </w:rPr>
              <w:t>/</w:t>
            </w:r>
            <w:r w:rsidRPr="00800D22">
              <w:rPr>
                <w:sz w:val="18"/>
                <w:szCs w:val="18"/>
              </w:rPr>
              <w:t>次级</w:t>
            </w:r>
          </w:p>
        </w:tc>
      </w:tr>
    </w:tbl>
    <w:p w14:paraId="19946B0D" w14:textId="4E4D4099" w:rsidR="00FB021F" w:rsidRPr="00800D22" w:rsidRDefault="00FB021F" w:rsidP="00FB021F">
      <w:pPr>
        <w:spacing w:beforeLines="150" w:before="468" w:afterLines="50" w:after="156" w:line="440" w:lineRule="exact"/>
        <w:ind w:firstLineChars="200" w:firstLine="640"/>
        <w:outlineLvl w:val="1"/>
        <w:rPr>
          <w:rFonts w:ascii="黑体" w:eastAsia="黑体"/>
          <w:bCs/>
          <w:sz w:val="32"/>
          <w:szCs w:val="32"/>
        </w:rPr>
      </w:pPr>
      <w:bookmarkStart w:id="4" w:name="_Toc243383340"/>
      <w:bookmarkStart w:id="5" w:name="_Toc256506346"/>
      <w:r>
        <w:rPr>
          <w:rFonts w:ascii="黑体" w:eastAsia="黑体" w:hint="eastAsia"/>
          <w:bCs/>
          <w:sz w:val="32"/>
          <w:szCs w:val="32"/>
        </w:rPr>
        <w:t>二、</w:t>
      </w:r>
      <w:r w:rsidRPr="00800D22">
        <w:rPr>
          <w:rFonts w:ascii="黑体" w:eastAsia="黑体"/>
          <w:bCs/>
          <w:sz w:val="32"/>
          <w:szCs w:val="32"/>
        </w:rPr>
        <w:t>完善资产证券化增信体系的建议</w:t>
      </w:r>
      <w:bookmarkEnd w:id="4"/>
      <w:bookmarkEnd w:id="5"/>
    </w:p>
    <w:p w14:paraId="6DDB89FE" w14:textId="77777777" w:rsidR="00FB021F" w:rsidRPr="00800D22" w:rsidRDefault="00FB021F" w:rsidP="00FB021F">
      <w:pPr>
        <w:widowControl/>
        <w:spacing w:line="440" w:lineRule="exact"/>
        <w:ind w:firstLineChars="200" w:firstLine="480"/>
        <w:rPr>
          <w:sz w:val="24"/>
        </w:rPr>
      </w:pPr>
      <w:r w:rsidRPr="00800D22">
        <w:rPr>
          <w:sz w:val="24"/>
        </w:rPr>
        <w:t>我国资产证券化</w:t>
      </w:r>
      <w:r w:rsidRPr="00800D22">
        <w:rPr>
          <w:rFonts w:hint="eastAsia"/>
          <w:sz w:val="24"/>
        </w:rPr>
        <w:t>尚</w:t>
      </w:r>
      <w:r w:rsidRPr="00800D22">
        <w:rPr>
          <w:sz w:val="24"/>
        </w:rPr>
        <w:t>处于起步摸索阶段，对于增信的经验</w:t>
      </w:r>
      <w:r w:rsidRPr="00800D22">
        <w:rPr>
          <w:rFonts w:hint="eastAsia"/>
          <w:sz w:val="24"/>
        </w:rPr>
        <w:t>较缺乏。</w:t>
      </w:r>
      <w:r w:rsidRPr="00800D22">
        <w:rPr>
          <w:sz w:val="24"/>
        </w:rPr>
        <w:t>另外</w:t>
      </w:r>
      <w:r w:rsidRPr="00800D22">
        <w:rPr>
          <w:rFonts w:hint="eastAsia"/>
          <w:sz w:val="24"/>
        </w:rPr>
        <w:t>，</w:t>
      </w:r>
      <w:r w:rsidRPr="00800D22">
        <w:rPr>
          <w:sz w:val="24"/>
        </w:rPr>
        <w:t>我国</w:t>
      </w:r>
      <w:r w:rsidRPr="00800D22">
        <w:rPr>
          <w:rFonts w:hint="eastAsia"/>
          <w:sz w:val="24"/>
        </w:rPr>
        <w:t>债券市场严重滞后</w:t>
      </w:r>
      <w:r w:rsidRPr="00800D22">
        <w:rPr>
          <w:sz w:val="24"/>
        </w:rPr>
        <w:t>，</w:t>
      </w:r>
      <w:r w:rsidRPr="00800D22">
        <w:rPr>
          <w:rFonts w:hint="eastAsia"/>
          <w:sz w:val="24"/>
        </w:rPr>
        <w:t>且增信体系不完善</w:t>
      </w:r>
      <w:r w:rsidRPr="00800D22">
        <w:rPr>
          <w:sz w:val="24"/>
        </w:rPr>
        <w:t>，</w:t>
      </w:r>
      <w:r w:rsidRPr="00800D22">
        <w:rPr>
          <w:rFonts w:hint="eastAsia"/>
          <w:sz w:val="24"/>
        </w:rPr>
        <w:t>从而</w:t>
      </w:r>
      <w:r w:rsidRPr="00800D22">
        <w:rPr>
          <w:sz w:val="24"/>
        </w:rPr>
        <w:t>导致目前我国的资产证券化增信受到一定程度的约束和限制。针对以上情况，本书提出</w:t>
      </w:r>
      <w:r w:rsidRPr="00800D22">
        <w:rPr>
          <w:rFonts w:hint="eastAsia"/>
          <w:sz w:val="24"/>
        </w:rPr>
        <w:t>如</w:t>
      </w:r>
      <w:r w:rsidRPr="00800D22">
        <w:rPr>
          <w:sz w:val="24"/>
        </w:rPr>
        <w:t>下关于促进我国资产证券化增信体系建设的建议：</w:t>
      </w:r>
    </w:p>
    <w:p w14:paraId="1A49BEED" w14:textId="14BB51CC" w:rsidR="00FB021F" w:rsidRPr="00800D22" w:rsidRDefault="00FB021F" w:rsidP="00FB021F">
      <w:pPr>
        <w:widowControl/>
        <w:spacing w:line="440" w:lineRule="exact"/>
        <w:ind w:firstLineChars="200" w:firstLine="480"/>
        <w:rPr>
          <w:sz w:val="24"/>
        </w:rPr>
      </w:pPr>
      <w:r w:rsidRPr="00800D22">
        <w:rPr>
          <w:rFonts w:hint="eastAsia"/>
          <w:sz w:val="24"/>
        </w:rPr>
        <w:t>（</w:t>
      </w:r>
      <w:r>
        <w:rPr>
          <w:rFonts w:hint="eastAsia"/>
          <w:sz w:val="24"/>
        </w:rPr>
        <w:t>一</w:t>
      </w:r>
      <w:r w:rsidRPr="00800D22">
        <w:rPr>
          <w:rFonts w:hint="eastAsia"/>
          <w:sz w:val="24"/>
        </w:rPr>
        <w:t>）</w:t>
      </w:r>
      <w:r w:rsidRPr="00800D22">
        <w:rPr>
          <w:sz w:val="24"/>
        </w:rPr>
        <w:t>灵活将多种增</w:t>
      </w:r>
      <w:r w:rsidRPr="00800D22">
        <w:rPr>
          <w:rFonts w:hint="eastAsia"/>
          <w:sz w:val="24"/>
        </w:rPr>
        <w:t>信</w:t>
      </w:r>
      <w:r w:rsidRPr="00800D22">
        <w:rPr>
          <w:sz w:val="24"/>
        </w:rPr>
        <w:t>方式</w:t>
      </w:r>
      <w:r w:rsidRPr="00800D22">
        <w:rPr>
          <w:rFonts w:hint="eastAsia"/>
          <w:sz w:val="24"/>
        </w:rPr>
        <w:t>组合</w:t>
      </w:r>
      <w:r w:rsidRPr="00800D22">
        <w:rPr>
          <w:sz w:val="24"/>
        </w:rPr>
        <w:t>使用，</w:t>
      </w:r>
      <w:r w:rsidRPr="00800D22">
        <w:rPr>
          <w:rFonts w:hint="eastAsia"/>
          <w:sz w:val="24"/>
        </w:rPr>
        <w:t>并探索</w:t>
      </w:r>
      <w:r w:rsidRPr="00800D22">
        <w:rPr>
          <w:sz w:val="24"/>
        </w:rPr>
        <w:t>新的增</w:t>
      </w:r>
      <w:r w:rsidRPr="00800D22">
        <w:rPr>
          <w:rFonts w:hint="eastAsia"/>
          <w:sz w:val="24"/>
        </w:rPr>
        <w:t>信</w:t>
      </w:r>
      <w:r w:rsidRPr="00800D22">
        <w:rPr>
          <w:sz w:val="24"/>
        </w:rPr>
        <w:t>方法</w:t>
      </w:r>
    </w:p>
    <w:p w14:paraId="1A2E4212" w14:textId="77777777" w:rsidR="00FB021F" w:rsidRPr="00800D22" w:rsidRDefault="00FB021F" w:rsidP="00FB021F">
      <w:pPr>
        <w:widowControl/>
        <w:spacing w:line="440" w:lineRule="exact"/>
        <w:ind w:firstLineChars="200" w:firstLine="480"/>
        <w:rPr>
          <w:sz w:val="24"/>
        </w:rPr>
      </w:pPr>
      <w:r w:rsidRPr="00800D22">
        <w:rPr>
          <w:rFonts w:hint="eastAsia"/>
          <w:sz w:val="24"/>
        </w:rPr>
        <w:t>从国外发达国家经验来看</w:t>
      </w:r>
      <w:r w:rsidRPr="00800D22">
        <w:rPr>
          <w:sz w:val="24"/>
        </w:rPr>
        <w:t>，</w:t>
      </w:r>
      <w:r w:rsidRPr="00800D22">
        <w:rPr>
          <w:rFonts w:hint="eastAsia"/>
          <w:sz w:val="24"/>
        </w:rPr>
        <w:t>在</w:t>
      </w:r>
      <w:r w:rsidRPr="00800D22">
        <w:rPr>
          <w:sz w:val="24"/>
        </w:rPr>
        <w:t>对证券化资产进行增信</w:t>
      </w:r>
      <w:r w:rsidRPr="00800D22">
        <w:rPr>
          <w:rFonts w:hint="eastAsia"/>
          <w:sz w:val="24"/>
        </w:rPr>
        <w:t>时</w:t>
      </w:r>
      <w:r w:rsidRPr="00800D22">
        <w:rPr>
          <w:sz w:val="24"/>
        </w:rPr>
        <w:t>并不是采用单一方法，</w:t>
      </w:r>
      <w:r w:rsidRPr="00800D22">
        <w:rPr>
          <w:rFonts w:hint="eastAsia"/>
          <w:sz w:val="24"/>
        </w:rPr>
        <w:t>而</w:t>
      </w:r>
      <w:r w:rsidRPr="00800D22">
        <w:rPr>
          <w:sz w:val="24"/>
        </w:rPr>
        <w:t>往往是</w:t>
      </w:r>
      <w:r w:rsidRPr="00800D22">
        <w:rPr>
          <w:rFonts w:hint="eastAsia"/>
          <w:sz w:val="24"/>
        </w:rPr>
        <w:t>内外部</w:t>
      </w:r>
      <w:r w:rsidRPr="00800D22">
        <w:rPr>
          <w:sz w:val="24"/>
        </w:rPr>
        <w:t>多种</w:t>
      </w:r>
      <w:r w:rsidRPr="00800D22">
        <w:rPr>
          <w:rFonts w:hint="eastAsia"/>
          <w:sz w:val="24"/>
        </w:rPr>
        <w:t>增信</w:t>
      </w:r>
      <w:r w:rsidRPr="00800D22">
        <w:rPr>
          <w:sz w:val="24"/>
        </w:rPr>
        <w:t>方式</w:t>
      </w:r>
      <w:r w:rsidRPr="00800D22">
        <w:rPr>
          <w:rFonts w:hint="eastAsia"/>
          <w:sz w:val="24"/>
        </w:rPr>
        <w:t>组合</w:t>
      </w:r>
      <w:r w:rsidRPr="00800D22">
        <w:rPr>
          <w:sz w:val="24"/>
        </w:rPr>
        <w:t>使用。随着我国</w:t>
      </w:r>
      <w:r w:rsidRPr="00800D22">
        <w:rPr>
          <w:rFonts w:hint="eastAsia"/>
          <w:sz w:val="24"/>
        </w:rPr>
        <w:t>债券</w:t>
      </w:r>
      <w:r w:rsidRPr="00800D22">
        <w:rPr>
          <w:sz w:val="24"/>
        </w:rPr>
        <w:t>市场的不断发展，可采用的增信方式</w:t>
      </w:r>
      <w:r w:rsidRPr="00800D22">
        <w:rPr>
          <w:rFonts w:hint="eastAsia"/>
          <w:sz w:val="24"/>
        </w:rPr>
        <w:t>也</w:t>
      </w:r>
      <w:r w:rsidRPr="00800D22">
        <w:rPr>
          <w:sz w:val="24"/>
        </w:rPr>
        <w:t>越来越多。</w:t>
      </w:r>
      <w:r w:rsidRPr="00800D22">
        <w:rPr>
          <w:rFonts w:hint="eastAsia"/>
          <w:sz w:val="24"/>
        </w:rPr>
        <w:t>因此，为了更有效地对资产证券化进行增信，促进资产证券化业务的发展，笔者认为我国应当借鉴国际经验，灵活地将多种增信方式搭配进行使用，增强增信效果。既可以</w:t>
      </w:r>
      <w:r w:rsidRPr="00800D22">
        <w:rPr>
          <w:sz w:val="24"/>
        </w:rPr>
        <w:t>多种内部增</w:t>
      </w:r>
      <w:r w:rsidRPr="00800D22">
        <w:rPr>
          <w:rFonts w:hint="eastAsia"/>
          <w:sz w:val="24"/>
        </w:rPr>
        <w:t>信方式</w:t>
      </w:r>
      <w:r w:rsidRPr="00800D22">
        <w:rPr>
          <w:sz w:val="24"/>
        </w:rPr>
        <w:t>相结合</w:t>
      </w:r>
      <w:r w:rsidRPr="00800D22">
        <w:rPr>
          <w:rFonts w:hint="eastAsia"/>
          <w:sz w:val="24"/>
        </w:rPr>
        <w:t>，也可以</w:t>
      </w:r>
      <w:r w:rsidRPr="00800D22">
        <w:rPr>
          <w:sz w:val="24"/>
        </w:rPr>
        <w:t>多种内部增</w:t>
      </w:r>
      <w:r w:rsidRPr="00800D22">
        <w:rPr>
          <w:rFonts w:hint="eastAsia"/>
          <w:sz w:val="24"/>
        </w:rPr>
        <w:t>信方式</w:t>
      </w:r>
      <w:r w:rsidRPr="00800D22">
        <w:rPr>
          <w:sz w:val="24"/>
        </w:rPr>
        <w:t>和一种或多种外部增</w:t>
      </w:r>
      <w:r w:rsidRPr="00800D22">
        <w:rPr>
          <w:rFonts w:hint="eastAsia"/>
          <w:sz w:val="24"/>
        </w:rPr>
        <w:t>信方式</w:t>
      </w:r>
      <w:r w:rsidRPr="00800D22">
        <w:rPr>
          <w:sz w:val="24"/>
        </w:rPr>
        <w:t>相结合。目前较为常用的增</w:t>
      </w:r>
      <w:r w:rsidRPr="00800D22">
        <w:rPr>
          <w:rFonts w:hint="eastAsia"/>
          <w:sz w:val="24"/>
        </w:rPr>
        <w:t>信</w:t>
      </w:r>
      <w:r w:rsidRPr="00800D22">
        <w:rPr>
          <w:sz w:val="24"/>
        </w:rPr>
        <w:t>方式是将超额抵押</w:t>
      </w:r>
      <w:r w:rsidRPr="00800D22">
        <w:rPr>
          <w:rFonts w:hint="eastAsia"/>
          <w:sz w:val="24"/>
        </w:rPr>
        <w:t>、</w:t>
      </w:r>
      <w:r w:rsidRPr="00800D22">
        <w:rPr>
          <w:sz w:val="24"/>
        </w:rPr>
        <w:t>优先</w:t>
      </w:r>
      <w:r w:rsidRPr="00800D22">
        <w:rPr>
          <w:sz w:val="24"/>
        </w:rPr>
        <w:t>/</w:t>
      </w:r>
      <w:r w:rsidRPr="00800D22">
        <w:rPr>
          <w:sz w:val="24"/>
        </w:rPr>
        <w:t>次级分层和备付金账户三种内部增</w:t>
      </w:r>
      <w:r w:rsidRPr="00800D22">
        <w:rPr>
          <w:rFonts w:hint="eastAsia"/>
          <w:sz w:val="24"/>
        </w:rPr>
        <w:t>信</w:t>
      </w:r>
      <w:r w:rsidRPr="00800D22">
        <w:rPr>
          <w:sz w:val="24"/>
        </w:rPr>
        <w:t>方式相结合。而在美国则更多的使用债券保险、信用</w:t>
      </w:r>
      <w:r w:rsidRPr="00800D22">
        <w:rPr>
          <w:rFonts w:hint="eastAsia"/>
          <w:sz w:val="24"/>
        </w:rPr>
        <w:t>违约</w:t>
      </w:r>
      <w:r w:rsidRPr="00800D22">
        <w:rPr>
          <w:sz w:val="24"/>
        </w:rPr>
        <w:t>互换</w:t>
      </w:r>
      <w:r w:rsidRPr="00800D22">
        <w:rPr>
          <w:rFonts w:hint="eastAsia"/>
          <w:sz w:val="24"/>
        </w:rPr>
        <w:t>及其它</w:t>
      </w:r>
      <w:r w:rsidRPr="00800D22">
        <w:rPr>
          <w:sz w:val="24"/>
        </w:rPr>
        <w:t>技术含量较高的多重偿还结构以及更为复杂的衍生工具。</w:t>
      </w:r>
    </w:p>
    <w:p w14:paraId="7BA97A50" w14:textId="77777777" w:rsidR="00FB021F" w:rsidRPr="00800D22" w:rsidRDefault="00FB021F" w:rsidP="00FB021F">
      <w:pPr>
        <w:widowControl/>
        <w:spacing w:line="440" w:lineRule="exact"/>
        <w:ind w:firstLineChars="200" w:firstLine="480"/>
        <w:rPr>
          <w:sz w:val="24"/>
        </w:rPr>
      </w:pPr>
      <w:r w:rsidRPr="00800D22">
        <w:rPr>
          <w:rFonts w:hint="eastAsia"/>
          <w:sz w:val="24"/>
        </w:rPr>
        <w:t>此外，还应当探索信用增级机构增级、信用互换和现金抵押等先进的增信方式。</w:t>
      </w:r>
      <w:r w:rsidRPr="00800D22">
        <w:rPr>
          <w:sz w:val="24"/>
        </w:rPr>
        <w:t>信用互换是近</w:t>
      </w:r>
      <w:r w:rsidRPr="00800D22">
        <w:rPr>
          <w:rFonts w:hint="eastAsia"/>
          <w:sz w:val="24"/>
        </w:rPr>
        <w:t>年</w:t>
      </w:r>
      <w:r w:rsidRPr="00800D22">
        <w:rPr>
          <w:sz w:val="24"/>
        </w:rPr>
        <w:t>来国际上较为流行的增</w:t>
      </w:r>
      <w:r w:rsidRPr="00800D22">
        <w:rPr>
          <w:rFonts w:hint="eastAsia"/>
          <w:sz w:val="24"/>
        </w:rPr>
        <w:t>信</w:t>
      </w:r>
      <w:r w:rsidRPr="00800D22">
        <w:rPr>
          <w:sz w:val="24"/>
        </w:rPr>
        <w:t>方式，信用互换的出现体现了资产证券化产品收益共担</w:t>
      </w:r>
      <w:r w:rsidRPr="00800D22">
        <w:rPr>
          <w:rFonts w:hint="eastAsia"/>
          <w:sz w:val="24"/>
        </w:rPr>
        <w:t>和</w:t>
      </w:r>
      <w:r w:rsidRPr="00800D22">
        <w:rPr>
          <w:sz w:val="24"/>
        </w:rPr>
        <w:t>风险分散的精髓，它的采用必将为我国金融市场的发展注入新的活力。</w:t>
      </w:r>
    </w:p>
    <w:p w14:paraId="2FC63DBC" w14:textId="0BB97C2D" w:rsidR="00FB021F" w:rsidRPr="00800D22" w:rsidRDefault="00FB021F" w:rsidP="00FB021F">
      <w:pPr>
        <w:widowControl/>
        <w:spacing w:line="440" w:lineRule="exact"/>
        <w:ind w:firstLineChars="200" w:firstLine="480"/>
        <w:rPr>
          <w:sz w:val="24"/>
        </w:rPr>
      </w:pPr>
      <w:r w:rsidRPr="00800D22">
        <w:rPr>
          <w:rFonts w:hint="eastAsia"/>
          <w:sz w:val="24"/>
        </w:rPr>
        <w:t>信用违约互换在国外是一种最常见、最受欢迎的信用衍生产品，是指信用保护买方（信用风险卖方）向信用保护卖方（信用风险买方）支付一定费用，如果双方约定的“参考资产”或“参考实体”在规定的时间内发生特定的“信用事件”，信用保护卖方需向信用保护买方支付相应款项（信用违约支付）的互换交易结构，如下图</w:t>
      </w:r>
      <w:r w:rsidR="000E3BCC">
        <w:rPr>
          <w:rFonts w:hint="eastAsia"/>
          <w:sz w:val="24"/>
        </w:rPr>
        <w:t>1</w:t>
      </w:r>
      <w:r w:rsidRPr="00800D22">
        <w:rPr>
          <w:rFonts w:hint="eastAsia"/>
          <w:sz w:val="24"/>
        </w:rPr>
        <w:t>所示。</w:t>
      </w:r>
    </w:p>
    <w:p w14:paraId="633B13B6" w14:textId="77777777" w:rsidR="00FB021F" w:rsidRPr="00800D22" w:rsidRDefault="00FB021F" w:rsidP="00FB021F">
      <w:pPr>
        <w:widowControl/>
        <w:spacing w:line="440" w:lineRule="exact"/>
        <w:ind w:firstLineChars="200" w:firstLine="480"/>
        <w:jc w:val="center"/>
        <w:rPr>
          <w:sz w:val="24"/>
        </w:rPr>
      </w:pPr>
    </w:p>
    <w:p w14:paraId="6C7012B8" w14:textId="77777777" w:rsidR="00FB021F" w:rsidRPr="00800D22" w:rsidRDefault="00000000" w:rsidP="00FB021F">
      <w:pPr>
        <w:jc w:val="center"/>
      </w:pPr>
      <w:r>
        <w:pict w14:anchorId="2E559AC9">
          <v:group id="_x0000_s2050" editas="canvas" style="width:378pt;height:210.6pt;mso-position-horizontal-relative:char;mso-position-vertical-relative:line" coordorigin="1800,1518" coordsize="7560,42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800;top:1518;width:7560;height:4212" o:preferrelative="f">
              <v:fill o:detectmouseclick="t"/>
              <v:path o:extrusionok="t" o:connecttype="none"/>
              <o:lock v:ext="edit" text="t"/>
            </v:shape>
            <v:group id="_x0000_s2052" style="position:absolute;left:2160;top:1725;width:7020;height:3849" coordorigin="2160,1725" coordsize="7020,3849">
              <v:rect id="_x0000_s2053" style="position:absolute;left:2160;top:2091;width:1620;height:1218">
                <v:textbox style="mso-next-textbox:#_x0000_s2053" inset=",8.3mm">
                  <w:txbxContent>
                    <w:p w14:paraId="251FCBEA" w14:textId="77777777" w:rsidR="00FB021F" w:rsidRDefault="00FB021F" w:rsidP="00FB021F">
                      <w:pPr>
                        <w:jc w:val="center"/>
                      </w:pPr>
                      <w:r>
                        <w:rPr>
                          <w:rFonts w:hint="eastAsia"/>
                        </w:rPr>
                        <w:t>信用保护卖方</w:t>
                      </w:r>
                    </w:p>
                  </w:txbxContent>
                </v:textbox>
              </v:rect>
              <v:rect id="_x0000_s2054" style="position:absolute;left:7200;top:2091;width:1620;height:1248">
                <v:textbox style="mso-next-textbox:#_x0000_s2054" inset=",8.3mm">
                  <w:txbxContent>
                    <w:p w14:paraId="2AD38AC4" w14:textId="77777777" w:rsidR="00FB021F" w:rsidRDefault="00FB021F" w:rsidP="00FB021F">
                      <w:pPr>
                        <w:jc w:val="center"/>
                      </w:pPr>
                      <w:r>
                        <w:rPr>
                          <w:rFonts w:hint="eastAsia"/>
                        </w:rPr>
                        <w:t>信用保护买方</w:t>
                      </w:r>
                    </w:p>
                  </w:txbxContent>
                </v:textbox>
              </v:rect>
              <v:line id="_x0000_s2055" style="position:absolute;flip:x" from="3780,2223" to="7200,2224">
                <v:stroke endarrow="block"/>
              </v:line>
              <v:shapetype id="_x0000_t202" coordsize="21600,21600" o:spt="202" path="m,l,21600r21600,l21600,xe">
                <v:stroke joinstyle="miter"/>
                <v:path gradientshapeok="t" o:connecttype="rect"/>
              </v:shapetype>
              <v:shape id="_x0000_s2056" type="#_x0000_t202" style="position:absolute;left:4680;top:1725;width:1980;height:468" strokecolor="white">
                <v:fill opacity="0"/>
                <v:textbox style="mso-next-textbox:#_x0000_s2056">
                  <w:txbxContent>
                    <w:p w14:paraId="7EE61CE9" w14:textId="77777777" w:rsidR="00FB021F" w:rsidRDefault="00FB021F" w:rsidP="00FB021F">
                      <w:r>
                        <w:rPr>
                          <w:rFonts w:hint="eastAsia"/>
                        </w:rPr>
                        <w:t>定期支付的费用</w:t>
                      </w:r>
                    </w:p>
                  </w:txbxContent>
                </v:textbox>
              </v:shape>
              <v:line id="_x0000_s2057" style="position:absolute" from="5220,2715" to="5221,3183"/>
              <v:line id="_x0000_s2058" style="position:absolute" from="3780,2961" to="5220,2962"/>
              <v:shape id="_x0000_s2059" type="#_x0000_t202" style="position:absolute;left:3825;top:2499;width:1395;height:468" stroked="f">
                <v:fill opacity="0"/>
                <v:textbox style="mso-next-textbox:#_x0000_s2059">
                  <w:txbxContent>
                    <w:p w14:paraId="7E95B803" w14:textId="77777777" w:rsidR="00FB021F" w:rsidRDefault="00FB021F" w:rsidP="00FB021F">
                      <w:r>
                        <w:rPr>
                          <w:rFonts w:hint="eastAsia"/>
                        </w:rPr>
                        <w:t>有信用事件</w:t>
                      </w:r>
                    </w:p>
                  </w:txbxContent>
                </v:textbox>
              </v:shape>
              <v:shape id="_x0000_s2060" type="#_x0000_t202" style="position:absolute;left:3840;top:2964;width:1395;height:468" stroked="f">
                <v:fill opacity="0"/>
                <v:textbox style="mso-next-textbox:#_x0000_s2060">
                  <w:txbxContent>
                    <w:p w14:paraId="202AC82C" w14:textId="77777777" w:rsidR="00FB021F" w:rsidRDefault="00FB021F" w:rsidP="00FB021F">
                      <w:r>
                        <w:rPr>
                          <w:rFonts w:hint="eastAsia"/>
                        </w:rPr>
                        <w:t>无信用事件</w:t>
                      </w:r>
                    </w:p>
                  </w:txbxContent>
                </v:textbox>
              </v:shape>
              <v:line id="_x0000_s2061" style="position:absolute" from="5220,2721" to="7200,2722">
                <v:stroke endarrow="block"/>
              </v:line>
              <v:shape id="_x0000_s2062" type="#_x0000_t202" style="position:absolute;left:5385;top:2238;width:1800;height:468" strokecolor="white">
                <v:fill opacity="0"/>
                <v:textbox style="mso-next-textbox:#_x0000_s2062">
                  <w:txbxContent>
                    <w:p w14:paraId="6213B2E7" w14:textId="77777777" w:rsidR="00FB021F" w:rsidRDefault="00FB021F" w:rsidP="00FB021F">
                      <w:r>
                        <w:rPr>
                          <w:rFonts w:hint="eastAsia"/>
                        </w:rPr>
                        <w:t>信用事件偿付</w:t>
                      </w:r>
                    </w:p>
                  </w:txbxContent>
                </v:textbox>
              </v:shape>
              <v:shape id="_x0000_s2063" type="#_x0000_t202" style="position:absolute;left:5670;top:3201;width:1350;height:468" stroked="f">
                <v:fill opacity="0"/>
                <v:textbox style="mso-next-textbox:#_x0000_s2063">
                  <w:txbxContent>
                    <w:p w14:paraId="627CAF6E" w14:textId="77777777" w:rsidR="00FB021F" w:rsidRDefault="00FB021F" w:rsidP="00FB021F">
                      <w:r>
                        <w:rPr>
                          <w:rFonts w:hint="eastAsia"/>
                        </w:rPr>
                        <w:t>零支付</w:t>
                      </w:r>
                    </w:p>
                  </w:txbxContent>
                </v:textbox>
              </v:shape>
              <v:line id="_x0000_s2064" style="position:absolute" from="5220,3174" to="7200,3175">
                <v:stroke endarrow="block"/>
              </v:line>
              <v:oval id="_x0000_s2065" style="position:absolute;left:7020;top:4950;width:2160;height:624">
                <v:textbox style="mso-next-textbox:#_x0000_s2065">
                  <w:txbxContent>
                    <w:p w14:paraId="4319602B" w14:textId="77777777" w:rsidR="00FB021F" w:rsidRDefault="00FB021F" w:rsidP="00FB021F">
                      <w:pPr>
                        <w:jc w:val="center"/>
                      </w:pPr>
                      <w:r>
                        <w:rPr>
                          <w:rFonts w:hint="eastAsia"/>
                        </w:rPr>
                        <w:t>信用资产</w:t>
                      </w:r>
                    </w:p>
                  </w:txbxContent>
                </v:textbox>
              </v:oval>
              <v:line id="_x0000_s2066" style="position:absolute;flip:y" from="7740,3390" to="7740,4950">
                <v:stroke endarrow="block"/>
              </v:line>
              <v:shape id="_x0000_s2067" type="#_x0000_t202" style="position:absolute;left:7065;top:3801;width:720;height:1248" stroked="f">
                <v:fill opacity="0"/>
                <v:textbox style="layout-flow:vertical-ideographic;mso-next-textbox:#_x0000_s2067">
                  <w:txbxContent>
                    <w:p w14:paraId="59627BCA" w14:textId="77777777" w:rsidR="00FB021F" w:rsidRDefault="00FB021F" w:rsidP="00FB021F">
                      <w:r>
                        <w:rPr>
                          <w:rFonts w:hint="eastAsia"/>
                        </w:rPr>
                        <w:t>资产回报</w:t>
                      </w:r>
                    </w:p>
                  </w:txbxContent>
                </v:textbox>
              </v:shape>
              <v:line id="_x0000_s2068" style="position:absolute" from="8280,3390" to="8280,4950">
                <v:stroke startarrow="block" endarrow="block"/>
              </v:line>
              <v:shape id="_x0000_s2069" type="#_x0000_t202" style="position:absolute;left:8145;top:3957;width:720;height:1248" stroked="f">
                <v:fill opacity="0"/>
                <v:textbox style="layout-flow:vertical-ideographic;mso-next-textbox:#_x0000_s2069">
                  <w:txbxContent>
                    <w:p w14:paraId="07C05ACA" w14:textId="77777777" w:rsidR="00FB021F" w:rsidRDefault="00FB021F" w:rsidP="00FB021F">
                      <w:r>
                        <w:rPr>
                          <w:rFonts w:hint="eastAsia"/>
                        </w:rPr>
                        <w:t>本金</w:t>
                      </w:r>
                    </w:p>
                  </w:txbxContent>
                </v:textbox>
              </v:shape>
            </v:group>
            <w10:anchorlock/>
          </v:group>
        </w:pict>
      </w:r>
    </w:p>
    <w:p w14:paraId="228B0260" w14:textId="5B1C7F27" w:rsidR="00FB021F" w:rsidRPr="00800D22" w:rsidRDefault="00FB021F" w:rsidP="00FB021F">
      <w:pPr>
        <w:pStyle w:val="af"/>
        <w:jc w:val="center"/>
        <w:rPr>
          <w:rFonts w:ascii="Times New Roman" w:eastAsia="新宋体" w:hAnsi="新宋体" w:cs="Times New Roman"/>
          <w:sz w:val="21"/>
          <w:szCs w:val="21"/>
        </w:rPr>
      </w:pPr>
      <w:bookmarkStart w:id="6" w:name="_Toc256507208"/>
      <w:r w:rsidRPr="00800D22">
        <w:rPr>
          <w:rFonts w:ascii="Times New Roman" w:eastAsia="新宋体" w:hAnsi="新宋体" w:cs="Times New Roman" w:hint="eastAsia"/>
          <w:sz w:val="21"/>
          <w:szCs w:val="21"/>
        </w:rPr>
        <w:t>图</w:t>
      </w:r>
      <w:r w:rsidRPr="00800D22">
        <w:rPr>
          <w:rFonts w:ascii="Times New Roman" w:eastAsia="新宋体" w:hAnsi="新宋体" w:cs="Times New Roman" w:hint="eastAsia"/>
          <w:sz w:val="21"/>
          <w:szCs w:val="21"/>
        </w:rPr>
        <w:t>1</w:t>
      </w:r>
      <w:r w:rsidRPr="00800D22">
        <w:rPr>
          <w:rFonts w:ascii="Times New Roman" w:eastAsia="新宋体" w:hAnsi="新宋体" w:cs="Times New Roman"/>
          <w:sz w:val="21"/>
          <w:szCs w:val="21"/>
        </w:rPr>
        <w:t xml:space="preserve"> </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信用违约互换交易结构</w:t>
      </w:r>
      <w:bookmarkEnd w:id="6"/>
    </w:p>
    <w:p w14:paraId="49E6D525" w14:textId="0F6EF3D3" w:rsidR="00FB021F" w:rsidRPr="00800D22" w:rsidRDefault="00FB021F" w:rsidP="00FB021F">
      <w:pPr>
        <w:pStyle w:val="41"/>
        <w:spacing w:afterLines="100" w:after="312" w:line="240" w:lineRule="auto"/>
        <w:jc w:val="center"/>
        <w:rPr>
          <w:rFonts w:eastAsia="新宋体" w:hAnsi="Times New Roman"/>
          <w:b w:val="0"/>
          <w:kern w:val="2"/>
        </w:rPr>
      </w:pPr>
      <w:r w:rsidRPr="00800D22">
        <w:rPr>
          <w:rFonts w:hint="eastAsia"/>
          <w:b w:val="0"/>
        </w:rPr>
        <w:t>Figure 1</w:t>
      </w:r>
      <w:r>
        <w:rPr>
          <w:rFonts w:hint="eastAsia"/>
          <w:b w:val="0"/>
        </w:rPr>
        <w:t xml:space="preserve"> </w:t>
      </w:r>
      <w:r w:rsidRPr="00800D22">
        <w:rPr>
          <w:rFonts w:hint="eastAsia"/>
          <w:b w:val="0"/>
        </w:rPr>
        <w:t xml:space="preserve"> </w:t>
      </w:r>
      <w:r w:rsidRPr="00800D22">
        <w:rPr>
          <w:rFonts w:eastAsia="新宋体" w:hAnsi="Times New Roman" w:hint="eastAsia"/>
          <w:b w:val="0"/>
          <w:kern w:val="2"/>
        </w:rPr>
        <w:t>Deal s</w:t>
      </w:r>
      <w:r w:rsidRPr="00800D22">
        <w:rPr>
          <w:rFonts w:eastAsia="新宋体" w:hAnsi="Times New Roman"/>
          <w:b w:val="0"/>
          <w:kern w:val="2"/>
        </w:rPr>
        <w:t>tructure of credit default swaps</w:t>
      </w:r>
    </w:p>
    <w:p w14:paraId="378BD617" w14:textId="77777777" w:rsidR="00FB021F" w:rsidRPr="00800D22" w:rsidRDefault="00FB021F" w:rsidP="00FB021F">
      <w:pPr>
        <w:widowControl/>
        <w:spacing w:line="440" w:lineRule="exact"/>
        <w:ind w:firstLineChars="200" w:firstLine="480"/>
        <w:rPr>
          <w:sz w:val="24"/>
        </w:rPr>
      </w:pPr>
      <w:r w:rsidRPr="00800D22">
        <w:rPr>
          <w:rFonts w:hint="eastAsia"/>
          <w:sz w:val="24"/>
        </w:rPr>
        <w:t>从信用违约互换的操作流程来看，信用违约互换同时具有固定收益证券和期权的某些特征。首先，信用保护买方定期向信用保护卖方支付一定的金额，信用保护买方相当于间接卖空（或发行）债券，信用保护卖方相当于间接购买债券。所不同的是，信用违约互换合约生效时信用保护卖方没有从买方处受到资金支付，而到期时有可能会收到资金支付，而到期时必须支付本息等。其次，只有在双方约定的信用事件发生时，信用保护卖方才有义务向买方支付一定金额作为补偿，而如果信用事件没有发生，卖方不需要支付费用，对于卖方来说这属于或有支付。</w:t>
      </w:r>
    </w:p>
    <w:p w14:paraId="0AA10E8B" w14:textId="77777777" w:rsidR="00FB021F" w:rsidRPr="00800D22" w:rsidRDefault="00FB021F" w:rsidP="00FB021F">
      <w:pPr>
        <w:widowControl/>
        <w:spacing w:line="440" w:lineRule="exact"/>
        <w:ind w:firstLineChars="200" w:firstLine="480"/>
        <w:rPr>
          <w:sz w:val="24"/>
        </w:rPr>
      </w:pPr>
      <w:r w:rsidRPr="00800D22">
        <w:rPr>
          <w:rFonts w:hint="eastAsia"/>
          <w:sz w:val="24"/>
        </w:rPr>
        <w:t>信用违约互换是在保留基础资产所有权的情况下，提供违约风险保险的金融合约，其本质是一种期权交易，交易的标的对象是信用，信用违约互换因此也被称为信用违约期权。买方定期支付的费用可以视为期权费，所不同的是，该支付在合约有效期内延续，而一般期权中的期权费是预先支付的。信用违约互换最大的特点就是将信用风险承担者的基础资产保留在表内，而将信用风险从市场中分离出来，从而提供一种信用风险的转移机制。在信用违约互换中，信用保护的买方一般为银行，卖方一般为保险基金或其他机构投资者。信用违约互换能够使银行在无需出售或消除其资产负债表内贷款的前提下，改变其贷款组合的风险—收益权衡，提供了一种向传统客户服务的新方式。</w:t>
      </w:r>
    </w:p>
    <w:p w14:paraId="5FB7AA55" w14:textId="0D051ACC" w:rsidR="00FB021F" w:rsidRPr="00800D22" w:rsidRDefault="00FB021F" w:rsidP="00FB021F">
      <w:pPr>
        <w:widowControl/>
        <w:spacing w:line="440" w:lineRule="exact"/>
        <w:ind w:firstLineChars="200" w:firstLine="480"/>
        <w:rPr>
          <w:sz w:val="24"/>
        </w:rPr>
      </w:pPr>
      <w:r w:rsidRPr="00800D22">
        <w:rPr>
          <w:rFonts w:hint="eastAsia"/>
          <w:sz w:val="24"/>
        </w:rPr>
        <w:t>（</w:t>
      </w:r>
      <w:r>
        <w:rPr>
          <w:rFonts w:hint="eastAsia"/>
          <w:sz w:val="24"/>
        </w:rPr>
        <w:t>二</w:t>
      </w:r>
      <w:r w:rsidRPr="00800D22">
        <w:rPr>
          <w:rFonts w:hint="eastAsia"/>
          <w:sz w:val="24"/>
        </w:rPr>
        <w:t>）</w:t>
      </w:r>
      <w:r w:rsidRPr="00800D22">
        <w:rPr>
          <w:sz w:val="24"/>
        </w:rPr>
        <w:t>提高参与</w:t>
      </w:r>
      <w:r w:rsidRPr="00800D22">
        <w:rPr>
          <w:rFonts w:hint="eastAsia"/>
          <w:sz w:val="24"/>
        </w:rPr>
        <w:t>各</w:t>
      </w:r>
      <w:r w:rsidRPr="00800D22">
        <w:rPr>
          <w:sz w:val="24"/>
        </w:rPr>
        <w:t>方自身的信用</w:t>
      </w:r>
      <w:r w:rsidRPr="00800D22">
        <w:rPr>
          <w:rFonts w:hint="eastAsia"/>
          <w:sz w:val="24"/>
        </w:rPr>
        <w:t>等级</w:t>
      </w:r>
    </w:p>
    <w:p w14:paraId="240E75CB" w14:textId="77777777" w:rsidR="00FB021F" w:rsidRPr="00800D22" w:rsidRDefault="00FB021F" w:rsidP="00FB021F">
      <w:pPr>
        <w:widowControl/>
        <w:spacing w:line="440" w:lineRule="exact"/>
        <w:ind w:firstLineChars="228" w:firstLine="547"/>
        <w:rPr>
          <w:sz w:val="24"/>
        </w:rPr>
      </w:pPr>
      <w:r w:rsidRPr="00800D22">
        <w:rPr>
          <w:sz w:val="24"/>
        </w:rPr>
        <w:t>资产证券化业务的一个重要特点就是参与方众多。由</w:t>
      </w:r>
      <w:r w:rsidRPr="00800D22">
        <w:rPr>
          <w:rFonts w:hint="eastAsia"/>
          <w:sz w:val="24"/>
        </w:rPr>
        <w:t>它</w:t>
      </w:r>
      <w:r w:rsidRPr="00800D22">
        <w:rPr>
          <w:sz w:val="24"/>
        </w:rPr>
        <w:t>们组成的业务架构的稳定性也是影响证券信用</w:t>
      </w:r>
      <w:r w:rsidRPr="00800D22">
        <w:rPr>
          <w:rFonts w:hint="eastAsia"/>
          <w:sz w:val="24"/>
        </w:rPr>
        <w:t>等级</w:t>
      </w:r>
      <w:r w:rsidRPr="00800D22">
        <w:rPr>
          <w:sz w:val="24"/>
        </w:rPr>
        <w:t>的一个重要因素。诚然，由信用</w:t>
      </w:r>
      <w:r w:rsidRPr="00800D22">
        <w:rPr>
          <w:rFonts w:hint="eastAsia"/>
          <w:sz w:val="24"/>
        </w:rPr>
        <w:t>等级较</w:t>
      </w:r>
      <w:r w:rsidRPr="00800D22">
        <w:rPr>
          <w:sz w:val="24"/>
        </w:rPr>
        <w:t>高的机构组成的业务架构就相对稳定，更能保证证券化后续期的正常运作。对信托公司而言，虽然</w:t>
      </w:r>
      <w:r w:rsidRPr="00800D22">
        <w:rPr>
          <w:rFonts w:hint="eastAsia"/>
          <w:sz w:val="24"/>
        </w:rPr>
        <w:t>对</w:t>
      </w:r>
      <w:r w:rsidRPr="00800D22">
        <w:rPr>
          <w:sz w:val="24"/>
        </w:rPr>
        <w:t>银行信贷资产证券化</w:t>
      </w:r>
      <w:r w:rsidRPr="00800D22">
        <w:rPr>
          <w:rFonts w:hint="eastAsia"/>
          <w:sz w:val="24"/>
        </w:rPr>
        <w:t>及其他</w:t>
      </w:r>
      <w:r w:rsidRPr="00800D22">
        <w:rPr>
          <w:sz w:val="24"/>
        </w:rPr>
        <w:t>大型业务公司注册资本金的要求很低或根本不做要求，但资本金的大小仍然是一个不便言明的选择标准。同样对于受托管理人</w:t>
      </w:r>
      <w:r w:rsidRPr="00800D22">
        <w:rPr>
          <w:rFonts w:hint="eastAsia"/>
          <w:sz w:val="24"/>
        </w:rPr>
        <w:t>和</w:t>
      </w:r>
      <w:r w:rsidRPr="00800D22">
        <w:rPr>
          <w:sz w:val="24"/>
        </w:rPr>
        <w:t>投资银行等机构自身的信用等级依然对证券信用</w:t>
      </w:r>
      <w:r w:rsidRPr="00800D22">
        <w:rPr>
          <w:rFonts w:hint="eastAsia"/>
          <w:sz w:val="24"/>
        </w:rPr>
        <w:t>等级</w:t>
      </w:r>
      <w:r w:rsidRPr="00800D22">
        <w:rPr>
          <w:sz w:val="24"/>
        </w:rPr>
        <w:t>有很大的影响力。</w:t>
      </w:r>
    </w:p>
    <w:p w14:paraId="59C9AA56" w14:textId="77777777" w:rsidR="00FB021F" w:rsidRPr="00800D22" w:rsidRDefault="00FB021F" w:rsidP="00FB021F">
      <w:pPr>
        <w:widowControl/>
        <w:spacing w:line="440" w:lineRule="exact"/>
        <w:rPr>
          <w:sz w:val="24"/>
        </w:rPr>
      </w:pPr>
    </w:p>
    <w:p w14:paraId="2745DA18" w14:textId="2E8CA6FE" w:rsidR="00FB021F" w:rsidRPr="00800D22" w:rsidRDefault="00FB021F" w:rsidP="00FB021F">
      <w:pPr>
        <w:spacing w:beforeLines="100" w:before="312" w:afterLines="100" w:after="312" w:line="440" w:lineRule="exact"/>
        <w:outlineLvl w:val="1"/>
        <w:rPr>
          <w:rFonts w:ascii="黑体" w:eastAsia="黑体"/>
          <w:bCs/>
          <w:sz w:val="32"/>
          <w:szCs w:val="32"/>
        </w:rPr>
      </w:pPr>
      <w:bookmarkStart w:id="7" w:name="_Toc256506347"/>
      <w:r w:rsidRPr="00800D22">
        <w:rPr>
          <w:rFonts w:ascii="黑体" w:eastAsia="黑体" w:hint="eastAsia"/>
          <w:bCs/>
          <w:sz w:val="32"/>
          <w:szCs w:val="32"/>
        </w:rPr>
        <w:t>案例分析</w:t>
      </w:r>
      <w:bookmarkEnd w:id="7"/>
    </w:p>
    <w:p w14:paraId="3DCCA109" w14:textId="3AE6F6C2" w:rsidR="00FB021F" w:rsidRPr="00800D22" w:rsidRDefault="00FB021F" w:rsidP="00FB021F">
      <w:pPr>
        <w:spacing w:beforeLines="100" w:before="312" w:afterLines="100" w:after="312" w:line="440" w:lineRule="exact"/>
        <w:rPr>
          <w:b/>
          <w:szCs w:val="21"/>
        </w:rPr>
      </w:pPr>
      <w:r w:rsidRPr="00800D22">
        <w:rPr>
          <w:rFonts w:hint="eastAsia"/>
          <w:b/>
          <w:szCs w:val="21"/>
        </w:rPr>
        <w:t>案例</w:t>
      </w:r>
      <w:r w:rsidRPr="00800D22">
        <w:rPr>
          <w:rFonts w:hint="eastAsia"/>
          <w:b/>
          <w:szCs w:val="21"/>
        </w:rPr>
        <w:t xml:space="preserve">1  </w:t>
      </w:r>
      <w:r w:rsidRPr="00800D22">
        <w:rPr>
          <w:b/>
          <w:szCs w:val="21"/>
        </w:rPr>
        <w:t>建元</w:t>
      </w:r>
      <w:r w:rsidRPr="00800D22">
        <w:rPr>
          <w:b/>
          <w:szCs w:val="21"/>
        </w:rPr>
        <w:t>2005-1</w:t>
      </w:r>
      <w:r w:rsidRPr="00800D22">
        <w:rPr>
          <w:b/>
          <w:szCs w:val="21"/>
        </w:rPr>
        <w:t>个人住房抵押贷款支持证券</w:t>
      </w:r>
    </w:p>
    <w:p w14:paraId="6E4AB9B2" w14:textId="401CA90B" w:rsidR="00FB021F" w:rsidRPr="00800D22" w:rsidRDefault="00FB021F" w:rsidP="00FB021F">
      <w:pPr>
        <w:pStyle w:val="af"/>
        <w:spacing w:beforeLines="100" w:before="312"/>
        <w:jc w:val="center"/>
        <w:rPr>
          <w:rFonts w:ascii="Times New Roman" w:eastAsia="新宋体" w:hAnsi="新宋体" w:cs="Times New Roman"/>
          <w:sz w:val="21"/>
          <w:szCs w:val="21"/>
        </w:rPr>
      </w:pPr>
      <w:bookmarkStart w:id="8" w:name="_Toc256506514"/>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2</w:t>
      </w:r>
      <w:r w:rsidRPr="00800D22">
        <w:rPr>
          <w:rFonts w:ascii="Times New Roman" w:eastAsia="新宋体" w:hAnsi="新宋体" w:cs="Times New Roman"/>
          <w:sz w:val="21"/>
          <w:szCs w:val="21"/>
        </w:rPr>
        <w:t xml:space="preserve"> </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“建元</w:t>
      </w:r>
      <w:r w:rsidRPr="00800D22">
        <w:rPr>
          <w:rFonts w:ascii="Times New Roman" w:eastAsia="新宋体" w:hAnsi="新宋体" w:cs="Times New Roman" w:hint="eastAsia"/>
          <w:sz w:val="21"/>
          <w:szCs w:val="21"/>
        </w:rPr>
        <w:t>2005-1</w:t>
      </w:r>
      <w:r w:rsidRPr="00800D22">
        <w:rPr>
          <w:rFonts w:ascii="Times New Roman" w:eastAsia="新宋体" w:hAnsi="新宋体" w:cs="Times New Roman" w:hint="eastAsia"/>
          <w:sz w:val="21"/>
          <w:szCs w:val="21"/>
        </w:rPr>
        <w:t>个人住房抵押贷款支持证券”发行概况</w:t>
      </w:r>
      <w:bookmarkEnd w:id="8"/>
    </w:p>
    <w:p w14:paraId="43C2E34A" w14:textId="27EA0A8E" w:rsidR="00FB021F" w:rsidRPr="00800D22" w:rsidRDefault="00FB021F" w:rsidP="00FB021F">
      <w:pPr>
        <w:jc w:val="center"/>
      </w:pPr>
      <w:r w:rsidRPr="00800D22">
        <w:rPr>
          <w:rFonts w:hint="eastAsia"/>
          <w:szCs w:val="21"/>
        </w:rPr>
        <w:t>T</w:t>
      </w:r>
      <w:r w:rsidRPr="00800D22">
        <w:rPr>
          <w:szCs w:val="21"/>
        </w:rPr>
        <w:t>able</w:t>
      </w:r>
      <w:r w:rsidRPr="00800D22">
        <w:rPr>
          <w:rFonts w:hint="eastAsia"/>
          <w:szCs w:val="21"/>
        </w:rPr>
        <w:t xml:space="preserve"> </w:t>
      </w:r>
      <w:r>
        <w:rPr>
          <w:rFonts w:hint="eastAsia"/>
          <w:szCs w:val="21"/>
        </w:rPr>
        <w:t>2</w:t>
      </w:r>
      <w:r w:rsidRPr="00800D22">
        <w:rPr>
          <w:rFonts w:hint="eastAsia"/>
          <w:szCs w:val="21"/>
        </w:rPr>
        <w:t xml:space="preserve">  </w:t>
      </w:r>
      <w:r w:rsidRPr="00800D22">
        <w:t xml:space="preserve">Issue </w:t>
      </w:r>
      <w:r w:rsidRPr="00800D22">
        <w:rPr>
          <w:rFonts w:hint="eastAsia"/>
        </w:rPr>
        <w:t>o</w:t>
      </w:r>
      <w:r w:rsidRPr="00800D22">
        <w:t>verview</w:t>
      </w:r>
      <w:r w:rsidRPr="00800D22">
        <w:rPr>
          <w:rFonts w:hint="eastAsia"/>
        </w:rPr>
        <w:t xml:space="preserve"> of </w:t>
      </w:r>
      <w:r w:rsidRPr="00800D22">
        <w:t>“</w:t>
      </w:r>
      <w:proofErr w:type="spellStart"/>
      <w:r w:rsidRPr="00800D22">
        <w:rPr>
          <w:rFonts w:hint="eastAsia"/>
        </w:rPr>
        <w:t>Jianyuan</w:t>
      </w:r>
      <w:proofErr w:type="spellEnd"/>
      <w:r w:rsidRPr="00800D22">
        <w:rPr>
          <w:rFonts w:hint="eastAsia"/>
        </w:rPr>
        <w:t xml:space="preserve"> 2005-1 p</w:t>
      </w:r>
      <w:r w:rsidRPr="00800D22">
        <w:t>ersonal housing mortgage-backed securities</w:t>
      </w:r>
      <w:r w:rsidRPr="00800D22">
        <w:rPr>
          <w:rFonts w:hint="eastAsia"/>
        </w:rPr>
        <w:t xml:space="preserve"> </w:t>
      </w:r>
      <w:r w:rsidRPr="00800D22">
        <w:t>”</w:t>
      </w:r>
    </w:p>
    <w:tbl>
      <w:tblPr>
        <w:tblW w:w="5000" w:type="pct"/>
        <w:tblLook w:val="01E0" w:firstRow="1" w:lastRow="1" w:firstColumn="1" w:lastColumn="1" w:noHBand="0" w:noVBand="0"/>
      </w:tblPr>
      <w:tblGrid>
        <w:gridCol w:w="984"/>
        <w:gridCol w:w="1077"/>
        <w:gridCol w:w="1362"/>
        <w:gridCol w:w="1173"/>
        <w:gridCol w:w="983"/>
        <w:gridCol w:w="2943"/>
      </w:tblGrid>
      <w:tr w:rsidR="00FB021F" w:rsidRPr="00BA6BF4" w14:paraId="153FDCAC" w14:textId="77777777" w:rsidTr="000A32F1">
        <w:tc>
          <w:tcPr>
            <w:tcW w:w="577" w:type="pct"/>
            <w:tcBorders>
              <w:top w:val="single" w:sz="4" w:space="0" w:color="auto"/>
              <w:bottom w:val="single" w:sz="4" w:space="0" w:color="auto"/>
            </w:tcBorders>
          </w:tcPr>
          <w:p w14:paraId="26967104" w14:textId="77777777" w:rsidR="00FB021F" w:rsidRPr="00BA6BF4" w:rsidRDefault="00FB021F" w:rsidP="000A32F1">
            <w:pPr>
              <w:rPr>
                <w:sz w:val="18"/>
                <w:szCs w:val="18"/>
              </w:rPr>
            </w:pPr>
            <w:r w:rsidRPr="00BA6BF4">
              <w:rPr>
                <w:rFonts w:hint="eastAsia"/>
                <w:sz w:val="18"/>
                <w:szCs w:val="18"/>
              </w:rPr>
              <w:t>类别名称</w:t>
            </w:r>
          </w:p>
        </w:tc>
        <w:tc>
          <w:tcPr>
            <w:tcW w:w="632" w:type="pct"/>
            <w:tcBorders>
              <w:top w:val="single" w:sz="4" w:space="0" w:color="auto"/>
              <w:bottom w:val="single" w:sz="4" w:space="0" w:color="auto"/>
            </w:tcBorders>
          </w:tcPr>
          <w:p w14:paraId="747A65D7" w14:textId="77777777" w:rsidR="00FB021F" w:rsidRPr="00BA6BF4" w:rsidRDefault="00FB021F" w:rsidP="000A32F1">
            <w:pPr>
              <w:rPr>
                <w:sz w:val="18"/>
                <w:szCs w:val="18"/>
              </w:rPr>
            </w:pPr>
            <w:r w:rsidRPr="00BA6BF4">
              <w:rPr>
                <w:rFonts w:hint="eastAsia"/>
                <w:sz w:val="18"/>
                <w:szCs w:val="18"/>
              </w:rPr>
              <w:t>发行金额</w:t>
            </w:r>
          </w:p>
        </w:tc>
        <w:tc>
          <w:tcPr>
            <w:tcW w:w="799" w:type="pct"/>
            <w:tcBorders>
              <w:top w:val="single" w:sz="4" w:space="0" w:color="auto"/>
              <w:bottom w:val="single" w:sz="4" w:space="0" w:color="auto"/>
            </w:tcBorders>
          </w:tcPr>
          <w:p w14:paraId="16A1DC93" w14:textId="77777777" w:rsidR="00FB021F" w:rsidRPr="00BA6BF4" w:rsidRDefault="00FB021F" w:rsidP="000A32F1">
            <w:pPr>
              <w:rPr>
                <w:sz w:val="18"/>
                <w:szCs w:val="18"/>
              </w:rPr>
            </w:pPr>
            <w:r w:rsidRPr="00BA6BF4">
              <w:rPr>
                <w:rFonts w:hint="eastAsia"/>
                <w:sz w:val="18"/>
                <w:szCs w:val="18"/>
              </w:rPr>
              <w:t>发行金额占比</w:t>
            </w:r>
          </w:p>
        </w:tc>
        <w:tc>
          <w:tcPr>
            <w:tcW w:w="688" w:type="pct"/>
            <w:tcBorders>
              <w:top w:val="single" w:sz="4" w:space="0" w:color="auto"/>
              <w:bottom w:val="single" w:sz="4" w:space="0" w:color="auto"/>
            </w:tcBorders>
          </w:tcPr>
          <w:p w14:paraId="5A97A36E" w14:textId="77777777" w:rsidR="00FB021F" w:rsidRPr="00BA6BF4" w:rsidRDefault="00FB021F" w:rsidP="000A32F1">
            <w:pPr>
              <w:rPr>
                <w:sz w:val="18"/>
                <w:szCs w:val="18"/>
              </w:rPr>
            </w:pPr>
            <w:r w:rsidRPr="00BA6BF4">
              <w:rPr>
                <w:rFonts w:hint="eastAsia"/>
                <w:sz w:val="18"/>
                <w:szCs w:val="18"/>
              </w:rPr>
              <w:t>发行利率</w:t>
            </w:r>
          </w:p>
        </w:tc>
        <w:tc>
          <w:tcPr>
            <w:tcW w:w="577" w:type="pct"/>
            <w:tcBorders>
              <w:top w:val="single" w:sz="4" w:space="0" w:color="auto"/>
              <w:bottom w:val="single" w:sz="4" w:space="0" w:color="auto"/>
            </w:tcBorders>
          </w:tcPr>
          <w:p w14:paraId="06659D5D" w14:textId="77777777" w:rsidR="00FB021F" w:rsidRPr="00BA6BF4" w:rsidRDefault="00FB021F" w:rsidP="000A32F1">
            <w:pPr>
              <w:rPr>
                <w:sz w:val="18"/>
                <w:szCs w:val="18"/>
              </w:rPr>
            </w:pPr>
            <w:r w:rsidRPr="00BA6BF4">
              <w:rPr>
                <w:rFonts w:hint="eastAsia"/>
                <w:sz w:val="18"/>
                <w:szCs w:val="18"/>
              </w:rPr>
              <w:t>信用等级</w:t>
            </w:r>
          </w:p>
        </w:tc>
        <w:tc>
          <w:tcPr>
            <w:tcW w:w="1727" w:type="pct"/>
            <w:tcBorders>
              <w:top w:val="single" w:sz="4" w:space="0" w:color="auto"/>
              <w:bottom w:val="single" w:sz="4" w:space="0" w:color="auto"/>
            </w:tcBorders>
          </w:tcPr>
          <w:p w14:paraId="0352A991" w14:textId="77777777" w:rsidR="00FB021F" w:rsidRPr="00BA6BF4" w:rsidRDefault="00FB021F" w:rsidP="000A32F1">
            <w:pPr>
              <w:rPr>
                <w:sz w:val="18"/>
                <w:szCs w:val="18"/>
              </w:rPr>
            </w:pPr>
            <w:r w:rsidRPr="00BA6BF4">
              <w:rPr>
                <w:rFonts w:hint="eastAsia"/>
                <w:sz w:val="18"/>
                <w:szCs w:val="18"/>
              </w:rPr>
              <w:t>信用支持</w:t>
            </w:r>
          </w:p>
        </w:tc>
      </w:tr>
      <w:tr w:rsidR="00FB021F" w:rsidRPr="00BA6BF4" w14:paraId="2C3E8E1E" w14:textId="77777777" w:rsidTr="000A32F1">
        <w:tc>
          <w:tcPr>
            <w:tcW w:w="577" w:type="pct"/>
            <w:tcBorders>
              <w:top w:val="single" w:sz="4" w:space="0" w:color="auto"/>
            </w:tcBorders>
          </w:tcPr>
          <w:p w14:paraId="4E01606B" w14:textId="77777777" w:rsidR="00FB021F" w:rsidRPr="00BA6BF4" w:rsidRDefault="00FB021F" w:rsidP="000A32F1">
            <w:pPr>
              <w:rPr>
                <w:sz w:val="18"/>
                <w:szCs w:val="18"/>
              </w:rPr>
            </w:pPr>
            <w:r w:rsidRPr="00BA6BF4">
              <w:rPr>
                <w:rFonts w:hint="eastAsia"/>
                <w:sz w:val="18"/>
                <w:szCs w:val="18"/>
              </w:rPr>
              <w:t>A</w:t>
            </w:r>
            <w:r w:rsidRPr="00BA6BF4">
              <w:rPr>
                <w:rFonts w:hint="eastAsia"/>
                <w:sz w:val="18"/>
                <w:szCs w:val="18"/>
              </w:rPr>
              <w:t>级</w:t>
            </w:r>
          </w:p>
        </w:tc>
        <w:tc>
          <w:tcPr>
            <w:tcW w:w="632" w:type="pct"/>
            <w:tcBorders>
              <w:top w:val="single" w:sz="4" w:space="0" w:color="auto"/>
            </w:tcBorders>
          </w:tcPr>
          <w:p w14:paraId="25DCC09D" w14:textId="77777777" w:rsidR="00FB021F" w:rsidRPr="00BA6BF4" w:rsidRDefault="00FB021F" w:rsidP="000A32F1">
            <w:pPr>
              <w:rPr>
                <w:sz w:val="18"/>
                <w:szCs w:val="18"/>
              </w:rPr>
            </w:pPr>
            <w:r w:rsidRPr="00BA6BF4">
              <w:rPr>
                <w:rFonts w:hint="eastAsia"/>
                <w:sz w:val="18"/>
                <w:szCs w:val="18"/>
              </w:rPr>
              <w:t>26.70</w:t>
            </w:r>
            <w:r w:rsidRPr="00BA6BF4">
              <w:rPr>
                <w:rFonts w:hint="eastAsia"/>
                <w:sz w:val="18"/>
                <w:szCs w:val="18"/>
              </w:rPr>
              <w:t>亿元</w:t>
            </w:r>
          </w:p>
        </w:tc>
        <w:tc>
          <w:tcPr>
            <w:tcW w:w="799" w:type="pct"/>
            <w:tcBorders>
              <w:top w:val="single" w:sz="4" w:space="0" w:color="auto"/>
            </w:tcBorders>
          </w:tcPr>
          <w:p w14:paraId="20D6156A" w14:textId="77777777" w:rsidR="00FB021F" w:rsidRPr="00BA6BF4" w:rsidRDefault="00FB021F" w:rsidP="000A32F1">
            <w:pPr>
              <w:rPr>
                <w:sz w:val="18"/>
                <w:szCs w:val="18"/>
              </w:rPr>
            </w:pPr>
            <w:r w:rsidRPr="00BA6BF4">
              <w:rPr>
                <w:rFonts w:hint="eastAsia"/>
                <w:sz w:val="18"/>
                <w:szCs w:val="18"/>
              </w:rPr>
              <w:t>88.50%</w:t>
            </w:r>
          </w:p>
        </w:tc>
        <w:tc>
          <w:tcPr>
            <w:tcW w:w="688" w:type="pct"/>
            <w:tcBorders>
              <w:top w:val="single" w:sz="4" w:space="0" w:color="auto"/>
            </w:tcBorders>
          </w:tcPr>
          <w:p w14:paraId="500036D5" w14:textId="77777777" w:rsidR="00FB021F" w:rsidRPr="00BA6BF4" w:rsidRDefault="00FB021F" w:rsidP="000A32F1">
            <w:pPr>
              <w:rPr>
                <w:sz w:val="18"/>
                <w:szCs w:val="18"/>
              </w:rPr>
            </w:pPr>
            <w:r w:rsidRPr="00BA6BF4">
              <w:rPr>
                <w:rFonts w:hint="eastAsia"/>
                <w:sz w:val="18"/>
                <w:szCs w:val="18"/>
              </w:rPr>
              <w:t>浮动</w:t>
            </w:r>
          </w:p>
        </w:tc>
        <w:tc>
          <w:tcPr>
            <w:tcW w:w="577" w:type="pct"/>
            <w:tcBorders>
              <w:top w:val="single" w:sz="4" w:space="0" w:color="auto"/>
            </w:tcBorders>
          </w:tcPr>
          <w:p w14:paraId="3344737A" w14:textId="77777777" w:rsidR="00FB021F" w:rsidRPr="00BA6BF4" w:rsidRDefault="00FB021F" w:rsidP="000A32F1">
            <w:pPr>
              <w:rPr>
                <w:sz w:val="18"/>
                <w:szCs w:val="18"/>
              </w:rPr>
            </w:pPr>
            <w:r w:rsidRPr="00BA6BF4">
              <w:rPr>
                <w:rFonts w:hint="eastAsia"/>
                <w:sz w:val="18"/>
                <w:szCs w:val="18"/>
              </w:rPr>
              <w:t>AAA</w:t>
            </w:r>
          </w:p>
        </w:tc>
        <w:tc>
          <w:tcPr>
            <w:tcW w:w="1727" w:type="pct"/>
            <w:tcBorders>
              <w:top w:val="single" w:sz="4" w:space="0" w:color="auto"/>
            </w:tcBorders>
          </w:tcPr>
          <w:p w14:paraId="640EF0F3" w14:textId="77777777" w:rsidR="00FB021F" w:rsidRPr="00BA6BF4" w:rsidRDefault="00FB021F" w:rsidP="000A32F1">
            <w:pPr>
              <w:rPr>
                <w:sz w:val="18"/>
                <w:szCs w:val="18"/>
              </w:rPr>
            </w:pPr>
            <w:r w:rsidRPr="00BA6BF4">
              <w:rPr>
                <w:rFonts w:hint="eastAsia"/>
                <w:sz w:val="18"/>
                <w:szCs w:val="18"/>
              </w:rPr>
              <w:t>11.5%</w:t>
            </w:r>
            <w:r w:rsidRPr="00BA6BF4">
              <w:rPr>
                <w:rFonts w:hint="eastAsia"/>
                <w:sz w:val="18"/>
                <w:szCs w:val="18"/>
              </w:rPr>
              <w:t>由</w:t>
            </w:r>
            <w:r w:rsidRPr="00BA6BF4">
              <w:rPr>
                <w:rFonts w:hint="eastAsia"/>
                <w:sz w:val="18"/>
                <w:szCs w:val="18"/>
              </w:rPr>
              <w:t>B</w:t>
            </w:r>
            <w:r w:rsidRPr="00BA6BF4">
              <w:rPr>
                <w:rFonts w:hint="eastAsia"/>
                <w:sz w:val="18"/>
                <w:szCs w:val="18"/>
              </w:rPr>
              <w:t>、</w:t>
            </w:r>
            <w:r w:rsidRPr="00BA6BF4">
              <w:rPr>
                <w:rFonts w:hint="eastAsia"/>
                <w:sz w:val="18"/>
                <w:szCs w:val="18"/>
              </w:rPr>
              <w:t>C</w:t>
            </w:r>
            <w:r w:rsidRPr="00BA6BF4">
              <w:rPr>
                <w:rFonts w:hint="eastAsia"/>
                <w:sz w:val="18"/>
                <w:szCs w:val="18"/>
              </w:rPr>
              <w:t>级及次级证券提供</w:t>
            </w:r>
          </w:p>
        </w:tc>
      </w:tr>
      <w:tr w:rsidR="00FB021F" w:rsidRPr="00BA6BF4" w14:paraId="5C245A2F" w14:textId="77777777" w:rsidTr="000A32F1">
        <w:tc>
          <w:tcPr>
            <w:tcW w:w="577" w:type="pct"/>
          </w:tcPr>
          <w:p w14:paraId="76DEE7B1" w14:textId="77777777" w:rsidR="00FB021F" w:rsidRPr="00BA6BF4" w:rsidRDefault="00FB021F" w:rsidP="000A32F1">
            <w:pPr>
              <w:rPr>
                <w:sz w:val="18"/>
                <w:szCs w:val="18"/>
              </w:rPr>
            </w:pPr>
            <w:r w:rsidRPr="00BA6BF4">
              <w:rPr>
                <w:rFonts w:hint="eastAsia"/>
                <w:sz w:val="18"/>
                <w:szCs w:val="18"/>
              </w:rPr>
              <w:t>B</w:t>
            </w:r>
            <w:r w:rsidRPr="00BA6BF4">
              <w:rPr>
                <w:rFonts w:hint="eastAsia"/>
                <w:sz w:val="18"/>
                <w:szCs w:val="18"/>
              </w:rPr>
              <w:t>级</w:t>
            </w:r>
          </w:p>
        </w:tc>
        <w:tc>
          <w:tcPr>
            <w:tcW w:w="632" w:type="pct"/>
          </w:tcPr>
          <w:p w14:paraId="606B667D" w14:textId="77777777" w:rsidR="00FB021F" w:rsidRPr="00BA6BF4" w:rsidRDefault="00FB021F" w:rsidP="000A32F1">
            <w:pPr>
              <w:rPr>
                <w:sz w:val="18"/>
                <w:szCs w:val="18"/>
              </w:rPr>
            </w:pPr>
            <w:r w:rsidRPr="00BA6BF4">
              <w:rPr>
                <w:rFonts w:hint="eastAsia"/>
                <w:sz w:val="18"/>
                <w:szCs w:val="18"/>
              </w:rPr>
              <w:t>2.04</w:t>
            </w:r>
            <w:r w:rsidRPr="00BA6BF4">
              <w:rPr>
                <w:rFonts w:hint="eastAsia"/>
                <w:sz w:val="18"/>
                <w:szCs w:val="18"/>
              </w:rPr>
              <w:t>亿元</w:t>
            </w:r>
          </w:p>
        </w:tc>
        <w:tc>
          <w:tcPr>
            <w:tcW w:w="799" w:type="pct"/>
          </w:tcPr>
          <w:p w14:paraId="1347A68D" w14:textId="77777777" w:rsidR="00FB021F" w:rsidRPr="00BA6BF4" w:rsidRDefault="00FB021F" w:rsidP="000A32F1">
            <w:pPr>
              <w:rPr>
                <w:sz w:val="18"/>
                <w:szCs w:val="18"/>
              </w:rPr>
            </w:pPr>
            <w:r w:rsidRPr="00BA6BF4">
              <w:rPr>
                <w:rFonts w:hint="eastAsia"/>
                <w:sz w:val="18"/>
                <w:szCs w:val="18"/>
              </w:rPr>
              <w:t>6.75%</w:t>
            </w:r>
          </w:p>
        </w:tc>
        <w:tc>
          <w:tcPr>
            <w:tcW w:w="688" w:type="pct"/>
          </w:tcPr>
          <w:p w14:paraId="3ECD1A3B" w14:textId="77777777" w:rsidR="00FB021F" w:rsidRPr="00BA6BF4" w:rsidRDefault="00FB021F" w:rsidP="000A32F1">
            <w:pPr>
              <w:rPr>
                <w:sz w:val="18"/>
                <w:szCs w:val="18"/>
              </w:rPr>
            </w:pPr>
            <w:r w:rsidRPr="00BA6BF4">
              <w:rPr>
                <w:rFonts w:hint="eastAsia"/>
                <w:sz w:val="18"/>
                <w:szCs w:val="18"/>
              </w:rPr>
              <w:t>浮动</w:t>
            </w:r>
          </w:p>
        </w:tc>
        <w:tc>
          <w:tcPr>
            <w:tcW w:w="577" w:type="pct"/>
          </w:tcPr>
          <w:p w14:paraId="5D742D50" w14:textId="77777777" w:rsidR="00FB021F" w:rsidRPr="00BA6BF4" w:rsidRDefault="00FB021F" w:rsidP="000A32F1">
            <w:pPr>
              <w:rPr>
                <w:sz w:val="18"/>
                <w:szCs w:val="18"/>
              </w:rPr>
            </w:pPr>
            <w:r w:rsidRPr="00BA6BF4">
              <w:rPr>
                <w:rFonts w:hint="eastAsia"/>
                <w:sz w:val="18"/>
                <w:szCs w:val="18"/>
              </w:rPr>
              <w:t>A</w:t>
            </w:r>
          </w:p>
        </w:tc>
        <w:tc>
          <w:tcPr>
            <w:tcW w:w="1727" w:type="pct"/>
          </w:tcPr>
          <w:p w14:paraId="4CFB34C5" w14:textId="77777777" w:rsidR="00FB021F" w:rsidRPr="00BA6BF4" w:rsidRDefault="00FB021F" w:rsidP="000A32F1">
            <w:pPr>
              <w:rPr>
                <w:sz w:val="18"/>
                <w:szCs w:val="18"/>
              </w:rPr>
            </w:pPr>
            <w:r w:rsidRPr="00BA6BF4">
              <w:rPr>
                <w:rFonts w:hint="eastAsia"/>
                <w:sz w:val="18"/>
                <w:szCs w:val="18"/>
              </w:rPr>
              <w:t>4.75%</w:t>
            </w:r>
            <w:r w:rsidRPr="00BA6BF4">
              <w:rPr>
                <w:rFonts w:hint="eastAsia"/>
                <w:sz w:val="18"/>
                <w:szCs w:val="18"/>
              </w:rPr>
              <w:t>由</w:t>
            </w:r>
            <w:r w:rsidRPr="00BA6BF4">
              <w:rPr>
                <w:rFonts w:hint="eastAsia"/>
                <w:sz w:val="18"/>
                <w:szCs w:val="18"/>
              </w:rPr>
              <w:t>C</w:t>
            </w:r>
            <w:r w:rsidRPr="00BA6BF4">
              <w:rPr>
                <w:rFonts w:hint="eastAsia"/>
                <w:sz w:val="18"/>
                <w:szCs w:val="18"/>
              </w:rPr>
              <w:t>级及次级证券提供</w:t>
            </w:r>
          </w:p>
        </w:tc>
      </w:tr>
      <w:tr w:rsidR="00FB021F" w:rsidRPr="00BA6BF4" w14:paraId="1EF4FD15" w14:textId="77777777" w:rsidTr="000A32F1">
        <w:tc>
          <w:tcPr>
            <w:tcW w:w="577" w:type="pct"/>
          </w:tcPr>
          <w:p w14:paraId="79A49723" w14:textId="77777777" w:rsidR="00FB021F" w:rsidRPr="00BA6BF4" w:rsidRDefault="00FB021F" w:rsidP="000A32F1">
            <w:pPr>
              <w:rPr>
                <w:sz w:val="18"/>
                <w:szCs w:val="18"/>
              </w:rPr>
            </w:pPr>
            <w:r w:rsidRPr="00BA6BF4">
              <w:rPr>
                <w:rFonts w:hint="eastAsia"/>
                <w:sz w:val="18"/>
                <w:szCs w:val="18"/>
              </w:rPr>
              <w:t>C</w:t>
            </w:r>
            <w:r w:rsidRPr="00BA6BF4">
              <w:rPr>
                <w:rFonts w:hint="eastAsia"/>
                <w:sz w:val="18"/>
                <w:szCs w:val="18"/>
              </w:rPr>
              <w:t>级</w:t>
            </w:r>
          </w:p>
        </w:tc>
        <w:tc>
          <w:tcPr>
            <w:tcW w:w="632" w:type="pct"/>
          </w:tcPr>
          <w:p w14:paraId="3A47004B" w14:textId="77777777" w:rsidR="00FB021F" w:rsidRPr="00BA6BF4" w:rsidRDefault="00FB021F" w:rsidP="000A32F1">
            <w:pPr>
              <w:rPr>
                <w:sz w:val="18"/>
                <w:szCs w:val="18"/>
              </w:rPr>
            </w:pPr>
            <w:r w:rsidRPr="00BA6BF4">
              <w:rPr>
                <w:rFonts w:hint="eastAsia"/>
                <w:sz w:val="18"/>
                <w:szCs w:val="18"/>
              </w:rPr>
              <w:t>0.53</w:t>
            </w:r>
            <w:r w:rsidRPr="00BA6BF4">
              <w:rPr>
                <w:rFonts w:hint="eastAsia"/>
                <w:sz w:val="18"/>
                <w:szCs w:val="18"/>
              </w:rPr>
              <w:t>亿元</w:t>
            </w:r>
          </w:p>
        </w:tc>
        <w:tc>
          <w:tcPr>
            <w:tcW w:w="799" w:type="pct"/>
          </w:tcPr>
          <w:p w14:paraId="50E30A59" w14:textId="77777777" w:rsidR="00FB021F" w:rsidRPr="00BA6BF4" w:rsidRDefault="00FB021F" w:rsidP="000A32F1">
            <w:pPr>
              <w:rPr>
                <w:sz w:val="18"/>
                <w:szCs w:val="18"/>
              </w:rPr>
            </w:pPr>
            <w:r w:rsidRPr="00BA6BF4">
              <w:rPr>
                <w:rFonts w:hint="eastAsia"/>
                <w:sz w:val="18"/>
                <w:szCs w:val="18"/>
              </w:rPr>
              <w:t>1.75%</w:t>
            </w:r>
          </w:p>
        </w:tc>
        <w:tc>
          <w:tcPr>
            <w:tcW w:w="688" w:type="pct"/>
          </w:tcPr>
          <w:p w14:paraId="3110CEA7" w14:textId="77777777" w:rsidR="00FB021F" w:rsidRPr="00BA6BF4" w:rsidRDefault="00FB021F" w:rsidP="000A32F1">
            <w:pPr>
              <w:rPr>
                <w:sz w:val="18"/>
                <w:szCs w:val="18"/>
              </w:rPr>
            </w:pPr>
            <w:r w:rsidRPr="00BA6BF4">
              <w:rPr>
                <w:rFonts w:hint="eastAsia"/>
                <w:sz w:val="18"/>
                <w:szCs w:val="18"/>
              </w:rPr>
              <w:t>浮动</w:t>
            </w:r>
          </w:p>
        </w:tc>
        <w:tc>
          <w:tcPr>
            <w:tcW w:w="577" w:type="pct"/>
          </w:tcPr>
          <w:p w14:paraId="6CD499BB" w14:textId="77777777" w:rsidR="00FB021F" w:rsidRPr="00BA6BF4" w:rsidRDefault="00FB021F" w:rsidP="000A32F1">
            <w:pPr>
              <w:rPr>
                <w:sz w:val="18"/>
                <w:szCs w:val="18"/>
              </w:rPr>
            </w:pPr>
            <w:r w:rsidRPr="00BA6BF4">
              <w:rPr>
                <w:rFonts w:hint="eastAsia"/>
                <w:sz w:val="18"/>
                <w:szCs w:val="18"/>
              </w:rPr>
              <w:t>BBB</w:t>
            </w:r>
          </w:p>
        </w:tc>
        <w:tc>
          <w:tcPr>
            <w:tcW w:w="1727" w:type="pct"/>
          </w:tcPr>
          <w:p w14:paraId="331A9C90" w14:textId="77777777" w:rsidR="00FB021F" w:rsidRPr="00BA6BF4" w:rsidRDefault="00FB021F" w:rsidP="000A32F1">
            <w:pPr>
              <w:rPr>
                <w:sz w:val="18"/>
                <w:szCs w:val="18"/>
              </w:rPr>
            </w:pPr>
            <w:r w:rsidRPr="00BA6BF4">
              <w:rPr>
                <w:rFonts w:hint="eastAsia"/>
                <w:sz w:val="18"/>
                <w:szCs w:val="18"/>
              </w:rPr>
              <w:t>3%</w:t>
            </w:r>
            <w:r w:rsidRPr="00BA6BF4">
              <w:rPr>
                <w:rFonts w:hint="eastAsia"/>
                <w:sz w:val="18"/>
                <w:szCs w:val="18"/>
              </w:rPr>
              <w:t>由次级证券提供</w:t>
            </w:r>
          </w:p>
        </w:tc>
      </w:tr>
      <w:tr w:rsidR="00FB021F" w:rsidRPr="00BA6BF4" w14:paraId="15E10543" w14:textId="77777777" w:rsidTr="000A32F1">
        <w:tc>
          <w:tcPr>
            <w:tcW w:w="577" w:type="pct"/>
          </w:tcPr>
          <w:p w14:paraId="379DCE05" w14:textId="77777777" w:rsidR="00FB021F" w:rsidRPr="00BA6BF4" w:rsidRDefault="00FB021F" w:rsidP="000A32F1">
            <w:pPr>
              <w:rPr>
                <w:sz w:val="18"/>
                <w:szCs w:val="18"/>
              </w:rPr>
            </w:pPr>
            <w:r w:rsidRPr="00BA6BF4">
              <w:rPr>
                <w:rFonts w:hint="eastAsia"/>
                <w:sz w:val="18"/>
                <w:szCs w:val="18"/>
              </w:rPr>
              <w:t>次级</w:t>
            </w:r>
          </w:p>
        </w:tc>
        <w:tc>
          <w:tcPr>
            <w:tcW w:w="632" w:type="pct"/>
          </w:tcPr>
          <w:p w14:paraId="3BF562EB" w14:textId="77777777" w:rsidR="00FB021F" w:rsidRPr="00BA6BF4" w:rsidRDefault="00FB021F" w:rsidP="000A32F1">
            <w:pPr>
              <w:rPr>
                <w:sz w:val="18"/>
                <w:szCs w:val="18"/>
              </w:rPr>
            </w:pPr>
            <w:r w:rsidRPr="00BA6BF4">
              <w:rPr>
                <w:rFonts w:hint="eastAsia"/>
                <w:sz w:val="18"/>
                <w:szCs w:val="18"/>
              </w:rPr>
              <w:t>0.90</w:t>
            </w:r>
            <w:r w:rsidRPr="00BA6BF4">
              <w:rPr>
                <w:rFonts w:hint="eastAsia"/>
                <w:sz w:val="18"/>
                <w:szCs w:val="18"/>
              </w:rPr>
              <w:t>亿元</w:t>
            </w:r>
          </w:p>
        </w:tc>
        <w:tc>
          <w:tcPr>
            <w:tcW w:w="799" w:type="pct"/>
          </w:tcPr>
          <w:p w14:paraId="4FE0A7B0" w14:textId="77777777" w:rsidR="00FB021F" w:rsidRPr="00BA6BF4" w:rsidRDefault="00FB021F" w:rsidP="000A32F1">
            <w:pPr>
              <w:rPr>
                <w:sz w:val="18"/>
                <w:szCs w:val="18"/>
              </w:rPr>
            </w:pPr>
            <w:r w:rsidRPr="00BA6BF4">
              <w:rPr>
                <w:rFonts w:hint="eastAsia"/>
                <w:sz w:val="18"/>
                <w:szCs w:val="18"/>
              </w:rPr>
              <w:t>3.00%</w:t>
            </w:r>
          </w:p>
        </w:tc>
        <w:tc>
          <w:tcPr>
            <w:tcW w:w="688" w:type="pct"/>
          </w:tcPr>
          <w:p w14:paraId="788DEE5D" w14:textId="77777777" w:rsidR="00FB021F" w:rsidRPr="00BA6BF4" w:rsidRDefault="00FB021F" w:rsidP="000A32F1">
            <w:pPr>
              <w:rPr>
                <w:sz w:val="18"/>
                <w:szCs w:val="18"/>
              </w:rPr>
            </w:pPr>
            <w:r w:rsidRPr="00BA6BF4">
              <w:rPr>
                <w:rFonts w:hint="eastAsia"/>
                <w:sz w:val="18"/>
                <w:szCs w:val="18"/>
              </w:rPr>
              <w:t>无票面利率</w:t>
            </w:r>
          </w:p>
        </w:tc>
        <w:tc>
          <w:tcPr>
            <w:tcW w:w="577" w:type="pct"/>
          </w:tcPr>
          <w:p w14:paraId="77FE6768" w14:textId="77777777" w:rsidR="00FB021F" w:rsidRPr="00BA6BF4" w:rsidRDefault="00FB021F" w:rsidP="000A32F1">
            <w:pPr>
              <w:rPr>
                <w:sz w:val="18"/>
                <w:szCs w:val="18"/>
              </w:rPr>
            </w:pPr>
            <w:r w:rsidRPr="00BA6BF4">
              <w:rPr>
                <w:rFonts w:hint="eastAsia"/>
                <w:sz w:val="18"/>
                <w:szCs w:val="18"/>
              </w:rPr>
              <w:t>无评级</w:t>
            </w:r>
          </w:p>
        </w:tc>
        <w:tc>
          <w:tcPr>
            <w:tcW w:w="1727" w:type="pct"/>
          </w:tcPr>
          <w:p w14:paraId="75D20A46" w14:textId="77777777" w:rsidR="00FB021F" w:rsidRPr="00BA6BF4" w:rsidRDefault="00FB021F" w:rsidP="000A32F1">
            <w:pPr>
              <w:rPr>
                <w:sz w:val="18"/>
                <w:szCs w:val="18"/>
              </w:rPr>
            </w:pPr>
            <w:r w:rsidRPr="00BA6BF4">
              <w:rPr>
                <w:rFonts w:hint="eastAsia"/>
                <w:sz w:val="18"/>
                <w:szCs w:val="18"/>
              </w:rPr>
              <w:t>0%</w:t>
            </w:r>
          </w:p>
        </w:tc>
      </w:tr>
      <w:tr w:rsidR="00FB021F" w:rsidRPr="00BA6BF4" w14:paraId="33F64D87" w14:textId="77777777" w:rsidTr="000A32F1">
        <w:tc>
          <w:tcPr>
            <w:tcW w:w="577" w:type="pct"/>
            <w:tcBorders>
              <w:bottom w:val="single" w:sz="4" w:space="0" w:color="auto"/>
            </w:tcBorders>
          </w:tcPr>
          <w:p w14:paraId="7493891E" w14:textId="77777777" w:rsidR="00FB021F" w:rsidRPr="00BA6BF4" w:rsidRDefault="00FB021F" w:rsidP="000A32F1">
            <w:pPr>
              <w:rPr>
                <w:sz w:val="18"/>
                <w:szCs w:val="18"/>
              </w:rPr>
            </w:pPr>
            <w:r w:rsidRPr="00BA6BF4">
              <w:rPr>
                <w:rFonts w:hint="eastAsia"/>
                <w:sz w:val="18"/>
                <w:szCs w:val="18"/>
              </w:rPr>
              <w:t>总计</w:t>
            </w:r>
          </w:p>
        </w:tc>
        <w:tc>
          <w:tcPr>
            <w:tcW w:w="632" w:type="pct"/>
            <w:tcBorders>
              <w:bottom w:val="single" w:sz="4" w:space="0" w:color="auto"/>
            </w:tcBorders>
          </w:tcPr>
          <w:p w14:paraId="5B00436D" w14:textId="77777777" w:rsidR="00FB021F" w:rsidRPr="00BA6BF4" w:rsidRDefault="00FB021F" w:rsidP="000A32F1">
            <w:pPr>
              <w:rPr>
                <w:sz w:val="18"/>
                <w:szCs w:val="18"/>
              </w:rPr>
            </w:pPr>
            <w:r w:rsidRPr="00BA6BF4">
              <w:rPr>
                <w:rFonts w:hint="eastAsia"/>
                <w:sz w:val="18"/>
                <w:szCs w:val="18"/>
              </w:rPr>
              <w:t>30.17</w:t>
            </w:r>
            <w:r w:rsidRPr="00BA6BF4">
              <w:rPr>
                <w:rFonts w:hint="eastAsia"/>
                <w:sz w:val="18"/>
                <w:szCs w:val="18"/>
              </w:rPr>
              <w:t>亿元</w:t>
            </w:r>
          </w:p>
        </w:tc>
        <w:tc>
          <w:tcPr>
            <w:tcW w:w="799" w:type="pct"/>
            <w:tcBorders>
              <w:bottom w:val="single" w:sz="4" w:space="0" w:color="auto"/>
            </w:tcBorders>
          </w:tcPr>
          <w:p w14:paraId="34278C6F" w14:textId="77777777" w:rsidR="00FB021F" w:rsidRPr="00BA6BF4" w:rsidRDefault="00FB021F" w:rsidP="000A32F1">
            <w:pPr>
              <w:rPr>
                <w:sz w:val="18"/>
                <w:szCs w:val="18"/>
              </w:rPr>
            </w:pPr>
            <w:r w:rsidRPr="00BA6BF4">
              <w:rPr>
                <w:rFonts w:hint="eastAsia"/>
                <w:sz w:val="18"/>
                <w:szCs w:val="18"/>
              </w:rPr>
              <w:t>-</w:t>
            </w:r>
          </w:p>
        </w:tc>
        <w:tc>
          <w:tcPr>
            <w:tcW w:w="688" w:type="pct"/>
            <w:tcBorders>
              <w:bottom w:val="single" w:sz="4" w:space="0" w:color="auto"/>
            </w:tcBorders>
          </w:tcPr>
          <w:p w14:paraId="6C433E03" w14:textId="77777777" w:rsidR="00FB021F" w:rsidRPr="00BA6BF4" w:rsidRDefault="00FB021F" w:rsidP="000A32F1">
            <w:pPr>
              <w:rPr>
                <w:sz w:val="18"/>
                <w:szCs w:val="18"/>
              </w:rPr>
            </w:pPr>
            <w:r w:rsidRPr="00BA6BF4">
              <w:rPr>
                <w:rFonts w:hint="eastAsia"/>
                <w:sz w:val="18"/>
                <w:szCs w:val="18"/>
              </w:rPr>
              <w:t>-</w:t>
            </w:r>
          </w:p>
        </w:tc>
        <w:tc>
          <w:tcPr>
            <w:tcW w:w="577" w:type="pct"/>
            <w:tcBorders>
              <w:bottom w:val="single" w:sz="4" w:space="0" w:color="auto"/>
            </w:tcBorders>
          </w:tcPr>
          <w:p w14:paraId="6AAEE210" w14:textId="77777777" w:rsidR="00FB021F" w:rsidRPr="00BA6BF4" w:rsidRDefault="00FB021F" w:rsidP="000A32F1">
            <w:pPr>
              <w:rPr>
                <w:sz w:val="18"/>
                <w:szCs w:val="18"/>
              </w:rPr>
            </w:pPr>
            <w:r w:rsidRPr="00BA6BF4">
              <w:rPr>
                <w:rFonts w:hint="eastAsia"/>
                <w:sz w:val="18"/>
                <w:szCs w:val="18"/>
              </w:rPr>
              <w:t>-</w:t>
            </w:r>
          </w:p>
        </w:tc>
        <w:tc>
          <w:tcPr>
            <w:tcW w:w="1727" w:type="pct"/>
            <w:tcBorders>
              <w:bottom w:val="single" w:sz="4" w:space="0" w:color="auto"/>
            </w:tcBorders>
          </w:tcPr>
          <w:p w14:paraId="52236C15" w14:textId="77777777" w:rsidR="00FB021F" w:rsidRPr="00BA6BF4" w:rsidRDefault="00FB021F" w:rsidP="000A32F1">
            <w:pPr>
              <w:rPr>
                <w:sz w:val="18"/>
                <w:szCs w:val="18"/>
              </w:rPr>
            </w:pPr>
            <w:r w:rsidRPr="00BA6BF4">
              <w:rPr>
                <w:rFonts w:hint="eastAsia"/>
                <w:sz w:val="18"/>
                <w:szCs w:val="18"/>
              </w:rPr>
              <w:t>-</w:t>
            </w:r>
          </w:p>
        </w:tc>
      </w:tr>
    </w:tbl>
    <w:p w14:paraId="0B08FD1A" w14:textId="77777777" w:rsidR="00FB021F" w:rsidRPr="00800D22" w:rsidRDefault="00FB021F" w:rsidP="00FB021F">
      <w:pPr>
        <w:autoSpaceDE w:val="0"/>
        <w:autoSpaceDN w:val="0"/>
        <w:spacing w:beforeLines="100" w:before="312" w:line="440" w:lineRule="exact"/>
        <w:ind w:firstLineChars="200" w:firstLine="420"/>
        <w:jc w:val="left"/>
        <w:rPr>
          <w:rFonts w:eastAsia="新宋体"/>
          <w:szCs w:val="21"/>
        </w:rPr>
      </w:pPr>
      <w:r w:rsidRPr="00800D22">
        <w:rPr>
          <w:rFonts w:eastAsia="新宋体" w:hint="eastAsia"/>
          <w:szCs w:val="21"/>
        </w:rPr>
        <w:t>“</w:t>
      </w:r>
      <w:r w:rsidRPr="00800D22">
        <w:rPr>
          <w:rFonts w:eastAsia="新宋体"/>
          <w:szCs w:val="21"/>
        </w:rPr>
        <w:t>建元</w:t>
      </w:r>
      <w:r w:rsidRPr="00800D22">
        <w:rPr>
          <w:rFonts w:eastAsia="新宋体"/>
          <w:szCs w:val="21"/>
        </w:rPr>
        <w:t>2005-1</w:t>
      </w:r>
      <w:r w:rsidRPr="00800D22">
        <w:rPr>
          <w:rFonts w:eastAsia="新宋体"/>
          <w:szCs w:val="21"/>
        </w:rPr>
        <w:t>个人住房抵押贷款支持证券</w:t>
      </w:r>
      <w:r w:rsidRPr="00800D22">
        <w:rPr>
          <w:rFonts w:eastAsia="新宋体" w:hint="eastAsia"/>
          <w:szCs w:val="21"/>
        </w:rPr>
        <w:t>”系</w:t>
      </w:r>
      <w:r w:rsidRPr="00800D22">
        <w:rPr>
          <w:rFonts w:eastAsia="新宋体"/>
          <w:szCs w:val="21"/>
        </w:rPr>
        <w:t>由</w:t>
      </w:r>
      <w:r w:rsidRPr="00800D22">
        <w:rPr>
          <w:rFonts w:eastAsia="新宋体" w:hint="eastAsia"/>
          <w:szCs w:val="21"/>
        </w:rPr>
        <w:t>中国</w:t>
      </w:r>
      <w:r w:rsidRPr="00800D22">
        <w:rPr>
          <w:rFonts w:eastAsia="新宋体"/>
          <w:szCs w:val="21"/>
        </w:rPr>
        <w:t>建设银行</w:t>
      </w:r>
      <w:r w:rsidRPr="00800D22">
        <w:rPr>
          <w:rFonts w:eastAsia="新宋体" w:hint="eastAsia"/>
          <w:szCs w:val="21"/>
        </w:rPr>
        <w:t>股份有限公司（以下简称“建行”）</w:t>
      </w:r>
      <w:r w:rsidRPr="00800D22">
        <w:rPr>
          <w:rFonts w:eastAsia="新宋体"/>
          <w:szCs w:val="21"/>
        </w:rPr>
        <w:t>于</w:t>
      </w:r>
      <w:r w:rsidRPr="00800D22">
        <w:rPr>
          <w:rFonts w:eastAsia="新宋体"/>
          <w:szCs w:val="21"/>
        </w:rPr>
        <w:t>2005</w:t>
      </w:r>
      <w:r w:rsidRPr="00800D22">
        <w:rPr>
          <w:rFonts w:eastAsia="新宋体"/>
          <w:szCs w:val="21"/>
        </w:rPr>
        <w:t>年</w:t>
      </w:r>
      <w:r w:rsidRPr="00800D22">
        <w:rPr>
          <w:rFonts w:eastAsia="新宋体"/>
          <w:szCs w:val="21"/>
        </w:rPr>
        <w:t>12</w:t>
      </w:r>
      <w:r w:rsidRPr="00800D22">
        <w:rPr>
          <w:rFonts w:eastAsia="新宋体"/>
          <w:szCs w:val="21"/>
        </w:rPr>
        <w:t>月</w:t>
      </w:r>
      <w:r w:rsidRPr="00800D22">
        <w:rPr>
          <w:rFonts w:eastAsia="新宋体"/>
          <w:szCs w:val="21"/>
        </w:rPr>
        <w:t>9</w:t>
      </w:r>
      <w:r w:rsidRPr="00800D22">
        <w:rPr>
          <w:rFonts w:eastAsia="新宋体"/>
          <w:szCs w:val="21"/>
        </w:rPr>
        <w:t>日发行，</w:t>
      </w:r>
      <w:r w:rsidRPr="00800D22">
        <w:rPr>
          <w:rFonts w:eastAsia="新宋体" w:hint="eastAsia"/>
          <w:szCs w:val="21"/>
        </w:rPr>
        <w:t>发行总额（含次级资产支持证券）为</w:t>
      </w:r>
      <w:r w:rsidRPr="00800D22">
        <w:rPr>
          <w:rFonts w:eastAsia="新宋体" w:hint="eastAsia"/>
          <w:szCs w:val="21"/>
        </w:rPr>
        <w:t>30.17</w:t>
      </w:r>
      <w:r w:rsidRPr="00800D22">
        <w:rPr>
          <w:rFonts w:eastAsia="新宋体" w:hint="eastAsia"/>
          <w:szCs w:val="21"/>
        </w:rPr>
        <w:t>亿元。该期资产支持证券经中诚信国际信用评级有限责任公司综合评定，</w:t>
      </w:r>
      <w:r w:rsidRPr="00800D22">
        <w:rPr>
          <w:rFonts w:eastAsia="新宋体" w:hint="eastAsia"/>
          <w:szCs w:val="21"/>
        </w:rPr>
        <w:t>A</w:t>
      </w:r>
      <w:r w:rsidRPr="00800D22">
        <w:rPr>
          <w:rFonts w:eastAsia="新宋体" w:hint="eastAsia"/>
          <w:szCs w:val="21"/>
        </w:rPr>
        <w:t>级资产支持证券信用等级为</w:t>
      </w:r>
      <w:r w:rsidRPr="00800D22">
        <w:rPr>
          <w:rFonts w:eastAsia="新宋体" w:hint="eastAsia"/>
          <w:szCs w:val="21"/>
        </w:rPr>
        <w:t>AAA</w:t>
      </w:r>
      <w:r w:rsidRPr="00800D22">
        <w:rPr>
          <w:rFonts w:eastAsia="新宋体" w:hint="eastAsia"/>
          <w:szCs w:val="21"/>
        </w:rPr>
        <w:t>，</w:t>
      </w:r>
      <w:r w:rsidRPr="00800D22">
        <w:rPr>
          <w:rFonts w:eastAsia="新宋体" w:hint="eastAsia"/>
          <w:szCs w:val="21"/>
        </w:rPr>
        <w:t>B</w:t>
      </w:r>
      <w:r w:rsidRPr="00800D22">
        <w:rPr>
          <w:rFonts w:eastAsia="新宋体" w:hint="eastAsia"/>
          <w:szCs w:val="21"/>
        </w:rPr>
        <w:t>级资产支持证券信用等级为</w:t>
      </w:r>
      <w:r w:rsidRPr="00800D22">
        <w:rPr>
          <w:rFonts w:eastAsia="新宋体" w:hint="eastAsia"/>
          <w:szCs w:val="21"/>
        </w:rPr>
        <w:t>A</w:t>
      </w:r>
      <w:r w:rsidRPr="00800D22">
        <w:rPr>
          <w:rFonts w:eastAsia="新宋体" w:hint="eastAsia"/>
          <w:szCs w:val="21"/>
        </w:rPr>
        <w:t>，</w:t>
      </w:r>
      <w:r w:rsidRPr="00800D22">
        <w:rPr>
          <w:rFonts w:eastAsia="新宋体" w:hint="eastAsia"/>
          <w:szCs w:val="21"/>
        </w:rPr>
        <w:t>C</w:t>
      </w:r>
      <w:r w:rsidRPr="00800D22">
        <w:rPr>
          <w:rFonts w:eastAsia="新宋体" w:hint="eastAsia"/>
          <w:szCs w:val="21"/>
        </w:rPr>
        <w:t>级资产支持证券信用等级为</w:t>
      </w:r>
      <w:r w:rsidRPr="00800D22">
        <w:rPr>
          <w:rFonts w:eastAsia="新宋体" w:hint="eastAsia"/>
          <w:szCs w:val="21"/>
        </w:rPr>
        <w:t>BBB</w:t>
      </w:r>
      <w:r w:rsidRPr="00800D22">
        <w:rPr>
          <w:rFonts w:eastAsia="新宋体" w:hint="eastAsia"/>
          <w:szCs w:val="21"/>
        </w:rPr>
        <w:t>。</w:t>
      </w:r>
    </w:p>
    <w:p w14:paraId="72E285BD" w14:textId="77777777" w:rsidR="00FB021F" w:rsidRPr="00800D22" w:rsidRDefault="00FB021F" w:rsidP="00FB021F">
      <w:pPr>
        <w:autoSpaceDE w:val="0"/>
        <w:autoSpaceDN w:val="0"/>
        <w:spacing w:line="440" w:lineRule="exact"/>
        <w:ind w:firstLineChars="200" w:firstLine="420"/>
        <w:jc w:val="left"/>
        <w:rPr>
          <w:rFonts w:eastAsia="新宋体"/>
          <w:szCs w:val="21"/>
        </w:rPr>
      </w:pPr>
      <w:r w:rsidRPr="00800D22">
        <w:rPr>
          <w:rFonts w:eastAsia="新宋体" w:hint="eastAsia"/>
          <w:szCs w:val="21"/>
        </w:rPr>
        <w:t>“</w:t>
      </w:r>
      <w:r w:rsidRPr="00800D22">
        <w:rPr>
          <w:rFonts w:eastAsia="新宋体"/>
          <w:szCs w:val="21"/>
        </w:rPr>
        <w:t>建元</w:t>
      </w:r>
      <w:r w:rsidRPr="00800D22">
        <w:rPr>
          <w:rFonts w:eastAsia="新宋体"/>
          <w:szCs w:val="21"/>
        </w:rPr>
        <w:t>2005-1</w:t>
      </w:r>
      <w:r w:rsidRPr="00800D22">
        <w:rPr>
          <w:rFonts w:eastAsia="新宋体"/>
          <w:szCs w:val="21"/>
        </w:rPr>
        <w:t>个人住房抵押贷款支持证券</w:t>
      </w:r>
      <w:r w:rsidRPr="00800D22">
        <w:rPr>
          <w:rFonts w:eastAsia="新宋体" w:hint="eastAsia"/>
          <w:szCs w:val="21"/>
        </w:rPr>
        <w:t>”</w:t>
      </w:r>
      <w:r w:rsidRPr="00800D22">
        <w:rPr>
          <w:rFonts w:eastAsia="新宋体"/>
          <w:szCs w:val="21"/>
        </w:rPr>
        <w:t>发行是基于如下结构性融资交易：建行将其合法拥有并符合入池标准的个人住房抵押贷款及相关权益交付给</w:t>
      </w:r>
      <w:r w:rsidRPr="00800D22">
        <w:rPr>
          <w:rFonts w:eastAsia="新宋体" w:hint="eastAsia"/>
          <w:szCs w:val="21"/>
        </w:rPr>
        <w:t>中信信托有限责任公司（以下简称“中信信托”）。</w:t>
      </w:r>
      <w:r w:rsidRPr="00800D22">
        <w:rPr>
          <w:rFonts w:eastAsia="新宋体"/>
          <w:szCs w:val="21"/>
        </w:rPr>
        <w:t>建行的入池资产包括分别位于上海、无锡、福州</w:t>
      </w:r>
      <w:r w:rsidRPr="00800D22">
        <w:rPr>
          <w:rFonts w:eastAsia="新宋体" w:hint="eastAsia"/>
          <w:szCs w:val="21"/>
        </w:rPr>
        <w:t>和</w:t>
      </w:r>
      <w:r w:rsidRPr="00800D22">
        <w:rPr>
          <w:rFonts w:eastAsia="新宋体"/>
          <w:szCs w:val="21"/>
        </w:rPr>
        <w:t>泉州价值</w:t>
      </w:r>
      <w:r w:rsidRPr="00800D22">
        <w:rPr>
          <w:rFonts w:eastAsia="新宋体"/>
          <w:szCs w:val="21"/>
        </w:rPr>
        <w:t>30.1</w:t>
      </w:r>
      <w:r w:rsidRPr="00800D22">
        <w:rPr>
          <w:rFonts w:eastAsia="新宋体" w:hint="eastAsia"/>
          <w:szCs w:val="21"/>
        </w:rPr>
        <w:t>7</w:t>
      </w:r>
      <w:r w:rsidRPr="00800D22">
        <w:rPr>
          <w:rFonts w:eastAsia="新宋体"/>
          <w:szCs w:val="21"/>
        </w:rPr>
        <w:t>亿元的个人住房抵押贷款。中信信托设立</w:t>
      </w:r>
      <w:r w:rsidRPr="00800D22">
        <w:rPr>
          <w:rFonts w:eastAsia="新宋体" w:hint="eastAsia"/>
          <w:szCs w:val="21"/>
        </w:rPr>
        <w:t>“</w:t>
      </w:r>
      <w:r w:rsidRPr="00800D22">
        <w:rPr>
          <w:rFonts w:eastAsia="新宋体"/>
          <w:szCs w:val="21"/>
        </w:rPr>
        <w:t>建元</w:t>
      </w:r>
      <w:r w:rsidRPr="00800D22">
        <w:rPr>
          <w:rFonts w:eastAsia="新宋体"/>
          <w:szCs w:val="21"/>
        </w:rPr>
        <w:t>2005-1</w:t>
      </w:r>
      <w:r w:rsidRPr="00800D22">
        <w:rPr>
          <w:rFonts w:eastAsia="新宋体"/>
          <w:szCs w:val="21"/>
        </w:rPr>
        <w:t>个人住房抵押贷款证券化信托</w:t>
      </w:r>
      <w:r w:rsidRPr="00800D22">
        <w:rPr>
          <w:rFonts w:eastAsia="新宋体" w:hint="eastAsia"/>
          <w:szCs w:val="21"/>
        </w:rPr>
        <w:t>”</w:t>
      </w:r>
      <w:r w:rsidRPr="00800D22">
        <w:rPr>
          <w:rFonts w:eastAsia="新宋体"/>
          <w:szCs w:val="21"/>
        </w:rPr>
        <w:t>并以此为支持发行四级资产支持证券（以下简称</w:t>
      </w:r>
      <w:r w:rsidRPr="00800D22">
        <w:rPr>
          <w:rFonts w:eastAsia="新宋体" w:hint="eastAsia"/>
          <w:szCs w:val="21"/>
        </w:rPr>
        <w:t>“</w:t>
      </w:r>
      <w:r w:rsidRPr="00800D22">
        <w:rPr>
          <w:rFonts w:eastAsia="新宋体"/>
          <w:szCs w:val="21"/>
        </w:rPr>
        <w:t>证券</w:t>
      </w:r>
      <w:r w:rsidRPr="00800D22">
        <w:rPr>
          <w:rFonts w:eastAsia="新宋体" w:hint="eastAsia"/>
          <w:szCs w:val="21"/>
        </w:rPr>
        <w:t>”</w:t>
      </w:r>
      <w:r w:rsidRPr="00800D22">
        <w:rPr>
          <w:rFonts w:eastAsia="新宋体"/>
          <w:szCs w:val="21"/>
        </w:rPr>
        <w:t>）。</w:t>
      </w:r>
      <w:r w:rsidRPr="00800D22">
        <w:rPr>
          <w:rFonts w:eastAsia="新宋体"/>
          <w:szCs w:val="21"/>
        </w:rPr>
        <w:t>A</w:t>
      </w:r>
      <w:r w:rsidRPr="00800D22">
        <w:rPr>
          <w:rFonts w:eastAsia="新宋体"/>
          <w:szCs w:val="21"/>
        </w:rPr>
        <w:t>、</w:t>
      </w:r>
      <w:r w:rsidRPr="00800D22">
        <w:rPr>
          <w:rFonts w:eastAsia="新宋体"/>
          <w:szCs w:val="21"/>
        </w:rPr>
        <w:t>B</w:t>
      </w:r>
      <w:r w:rsidRPr="00800D22">
        <w:rPr>
          <w:rFonts w:eastAsia="新宋体"/>
          <w:szCs w:val="21"/>
        </w:rPr>
        <w:t>、</w:t>
      </w:r>
      <w:r w:rsidRPr="00800D22">
        <w:rPr>
          <w:rFonts w:eastAsia="新宋体"/>
          <w:szCs w:val="21"/>
        </w:rPr>
        <w:t xml:space="preserve">C </w:t>
      </w:r>
      <w:r w:rsidRPr="00800D22">
        <w:rPr>
          <w:rFonts w:eastAsia="新宋体"/>
          <w:szCs w:val="21"/>
        </w:rPr>
        <w:t>三级优先级证券将在全国</w:t>
      </w:r>
      <w:r w:rsidRPr="00800D22">
        <w:rPr>
          <w:rFonts w:eastAsia="新宋体" w:hint="eastAsia"/>
          <w:szCs w:val="21"/>
        </w:rPr>
        <w:t>银行间</w:t>
      </w:r>
      <w:r w:rsidRPr="00800D22">
        <w:rPr>
          <w:rFonts w:eastAsia="新宋体"/>
          <w:szCs w:val="21"/>
        </w:rPr>
        <w:t>债券市场发行，发行净收入（发行收入扣除承销</w:t>
      </w:r>
      <w:r w:rsidRPr="00800D22">
        <w:rPr>
          <w:rFonts w:eastAsia="新宋体" w:hint="eastAsia"/>
          <w:szCs w:val="21"/>
        </w:rPr>
        <w:t>费</w:t>
      </w:r>
      <w:r w:rsidRPr="00800D22">
        <w:rPr>
          <w:rFonts w:eastAsia="新宋体"/>
          <w:szCs w:val="21"/>
        </w:rPr>
        <w:t>和相关费用）及次级证券将作为信托资产的对价交付给发起人建行。</w:t>
      </w:r>
    </w:p>
    <w:p w14:paraId="7731A5CF" w14:textId="77777777" w:rsidR="00FB021F" w:rsidRPr="00800D22" w:rsidRDefault="00FB021F" w:rsidP="00FB021F">
      <w:pPr>
        <w:autoSpaceDE w:val="0"/>
        <w:autoSpaceDN w:val="0"/>
        <w:spacing w:line="440" w:lineRule="exact"/>
        <w:ind w:firstLineChars="200" w:firstLine="420"/>
        <w:jc w:val="left"/>
        <w:rPr>
          <w:rFonts w:eastAsia="新宋体"/>
          <w:szCs w:val="21"/>
        </w:rPr>
      </w:pPr>
      <w:r w:rsidRPr="00800D22">
        <w:rPr>
          <w:rFonts w:eastAsia="新宋体"/>
          <w:szCs w:val="21"/>
        </w:rPr>
        <w:t>（</w:t>
      </w:r>
      <w:r w:rsidRPr="00800D22">
        <w:rPr>
          <w:rFonts w:eastAsia="新宋体"/>
          <w:szCs w:val="21"/>
        </w:rPr>
        <w:t>1</w:t>
      </w:r>
      <w:r w:rsidRPr="00800D22">
        <w:rPr>
          <w:rFonts w:eastAsia="新宋体"/>
          <w:szCs w:val="21"/>
        </w:rPr>
        <w:t>）建元</w:t>
      </w:r>
      <w:r w:rsidRPr="00800D22">
        <w:rPr>
          <w:rFonts w:eastAsia="新宋体"/>
          <w:szCs w:val="21"/>
        </w:rPr>
        <w:t>2005-1</w:t>
      </w:r>
      <w:r w:rsidRPr="00800D22">
        <w:rPr>
          <w:rFonts w:eastAsia="新宋体"/>
          <w:szCs w:val="21"/>
        </w:rPr>
        <w:t>个人住房抵押贷款支持证券的特点</w:t>
      </w:r>
    </w:p>
    <w:p w14:paraId="46B2E3AB" w14:textId="77777777" w:rsidR="00FB021F" w:rsidRPr="00800D22" w:rsidRDefault="00FB021F" w:rsidP="00FB021F">
      <w:pPr>
        <w:autoSpaceDE w:val="0"/>
        <w:autoSpaceDN w:val="0"/>
        <w:spacing w:line="440" w:lineRule="exact"/>
        <w:ind w:firstLineChars="200" w:firstLine="420"/>
        <w:jc w:val="left"/>
        <w:rPr>
          <w:rFonts w:eastAsia="新宋体"/>
          <w:szCs w:val="21"/>
        </w:rPr>
      </w:pPr>
      <w:r w:rsidRPr="00800D22">
        <w:rPr>
          <w:rFonts w:eastAsia="新宋体"/>
          <w:szCs w:val="21"/>
        </w:rPr>
        <w:t>由于</w:t>
      </w:r>
      <w:r w:rsidRPr="00800D22">
        <w:rPr>
          <w:rFonts w:eastAsia="新宋体"/>
          <w:szCs w:val="21"/>
        </w:rPr>
        <w:t>MBS</w:t>
      </w:r>
      <w:r w:rsidRPr="00800D22">
        <w:rPr>
          <w:rFonts w:eastAsia="新宋体"/>
          <w:szCs w:val="21"/>
        </w:rPr>
        <w:t>的本息偿付主要依赖于证券化基础资产在未来产生的现金流，建行选择了上海、江苏和福建这三家分行作为试点单位；通过设置一系列严格的入库标准，建行对这三家试点分行现有个人住房抵押贷款进行筛选，以保证</w:t>
      </w:r>
      <w:r w:rsidRPr="00800D22">
        <w:rPr>
          <w:rFonts w:eastAsia="新宋体" w:hint="eastAsia"/>
          <w:szCs w:val="21"/>
        </w:rPr>
        <w:t>该</w:t>
      </w:r>
      <w:r w:rsidRPr="00800D22">
        <w:rPr>
          <w:rFonts w:eastAsia="新宋体"/>
          <w:szCs w:val="21"/>
        </w:rPr>
        <w:t>次证券化基础资产的优质性；同时建行承诺对不符合标准的贷款进行回购。建行依据这些资产的质量划分为不同档次。每一个档次的资产在还款期、现金流结构、收益率和风险程度方面各有特点。机构投资</w:t>
      </w:r>
      <w:r w:rsidRPr="00800D22">
        <w:rPr>
          <w:rFonts w:eastAsia="新宋体" w:hint="eastAsia"/>
          <w:szCs w:val="21"/>
        </w:rPr>
        <w:t>者</w:t>
      </w:r>
      <w:r w:rsidRPr="00800D22">
        <w:rPr>
          <w:rFonts w:eastAsia="新宋体"/>
          <w:szCs w:val="21"/>
        </w:rPr>
        <w:t>可以根据自己的需求，选择不同档次的</w:t>
      </w:r>
      <w:r w:rsidRPr="00800D22">
        <w:rPr>
          <w:rFonts w:eastAsia="新宋体"/>
          <w:szCs w:val="21"/>
        </w:rPr>
        <w:t xml:space="preserve">MBS </w:t>
      </w:r>
      <w:r w:rsidRPr="00800D22">
        <w:rPr>
          <w:rFonts w:eastAsia="新宋体"/>
          <w:szCs w:val="21"/>
        </w:rPr>
        <w:t>进行投资，以满足其资产负债结构。</w:t>
      </w:r>
    </w:p>
    <w:p w14:paraId="57D4FF7F" w14:textId="77777777" w:rsidR="00FB021F" w:rsidRPr="00800D22" w:rsidRDefault="00FB021F" w:rsidP="00FB021F">
      <w:pPr>
        <w:autoSpaceDE w:val="0"/>
        <w:autoSpaceDN w:val="0"/>
        <w:spacing w:line="440" w:lineRule="exact"/>
        <w:ind w:firstLineChars="200" w:firstLine="420"/>
        <w:jc w:val="left"/>
        <w:rPr>
          <w:rFonts w:eastAsia="新宋体"/>
          <w:szCs w:val="21"/>
        </w:rPr>
      </w:pPr>
      <w:r w:rsidRPr="00800D22">
        <w:rPr>
          <w:rFonts w:eastAsia="新宋体"/>
          <w:szCs w:val="21"/>
        </w:rPr>
        <w:t>（</w:t>
      </w:r>
      <w:r w:rsidRPr="00800D22">
        <w:rPr>
          <w:rFonts w:eastAsia="新宋体"/>
          <w:szCs w:val="21"/>
        </w:rPr>
        <w:t>2</w:t>
      </w:r>
      <w:r w:rsidRPr="00800D22">
        <w:rPr>
          <w:rFonts w:eastAsia="新宋体"/>
          <w:szCs w:val="21"/>
        </w:rPr>
        <w:t>）优先级</w:t>
      </w:r>
      <w:r w:rsidRPr="00800D22">
        <w:rPr>
          <w:rFonts w:eastAsia="新宋体"/>
          <w:szCs w:val="21"/>
        </w:rPr>
        <w:t>/</w:t>
      </w:r>
      <w:r w:rsidRPr="00800D22">
        <w:rPr>
          <w:rFonts w:eastAsia="新宋体"/>
          <w:szCs w:val="21"/>
        </w:rPr>
        <w:t>次级证券的现金流支付</w:t>
      </w:r>
    </w:p>
    <w:p w14:paraId="215A85F4" w14:textId="77777777" w:rsidR="00FB021F" w:rsidRPr="00800D22" w:rsidRDefault="00FB021F" w:rsidP="00FB021F">
      <w:pPr>
        <w:widowControl/>
        <w:spacing w:line="440" w:lineRule="exact"/>
        <w:ind w:firstLineChars="200" w:firstLine="420"/>
        <w:rPr>
          <w:rFonts w:eastAsia="新宋体"/>
          <w:szCs w:val="21"/>
        </w:rPr>
      </w:pPr>
      <w:r w:rsidRPr="00800D22">
        <w:rPr>
          <w:rFonts w:eastAsia="新宋体"/>
          <w:szCs w:val="21"/>
        </w:rPr>
        <w:t>结构的增信机制在违约事件发生前，入池贷款的本息回收款将按照利息支付顺序和本金支付顺序支付优先</w:t>
      </w:r>
      <w:r w:rsidRPr="00800D22">
        <w:rPr>
          <w:rFonts w:eastAsia="新宋体"/>
          <w:szCs w:val="21"/>
        </w:rPr>
        <w:t>A</w:t>
      </w:r>
      <w:r w:rsidRPr="00800D22">
        <w:rPr>
          <w:rFonts w:eastAsia="新宋体"/>
          <w:szCs w:val="21"/>
        </w:rPr>
        <w:t>、</w:t>
      </w:r>
      <w:r w:rsidRPr="00800D22">
        <w:rPr>
          <w:rFonts w:eastAsia="新宋体"/>
          <w:szCs w:val="21"/>
        </w:rPr>
        <w:t>B</w:t>
      </w:r>
      <w:r w:rsidRPr="00800D22">
        <w:rPr>
          <w:rFonts w:eastAsia="新宋体"/>
          <w:szCs w:val="21"/>
        </w:rPr>
        <w:t>、</w:t>
      </w:r>
      <w:r w:rsidRPr="00800D22">
        <w:rPr>
          <w:rFonts w:eastAsia="新宋体"/>
          <w:szCs w:val="21"/>
        </w:rPr>
        <w:t xml:space="preserve">C </w:t>
      </w:r>
      <w:r w:rsidRPr="00800D22">
        <w:rPr>
          <w:rFonts w:eastAsia="新宋体"/>
          <w:szCs w:val="21"/>
        </w:rPr>
        <w:t>级和次级证券。每个月的收入回收款将在支付应由信托财产承担的税收准备</w:t>
      </w:r>
      <w:r w:rsidRPr="00800D22">
        <w:rPr>
          <w:rFonts w:eastAsia="新宋体" w:hint="eastAsia"/>
          <w:szCs w:val="21"/>
        </w:rPr>
        <w:t>和</w:t>
      </w:r>
      <w:r w:rsidRPr="00800D22">
        <w:rPr>
          <w:rFonts w:eastAsia="新宋体"/>
          <w:szCs w:val="21"/>
        </w:rPr>
        <w:t>限额内优先费用后，</w:t>
      </w:r>
      <w:r w:rsidRPr="00800D22">
        <w:rPr>
          <w:rFonts w:eastAsia="新宋体" w:hint="eastAsia"/>
          <w:szCs w:val="21"/>
        </w:rPr>
        <w:t>按</w:t>
      </w:r>
      <w:r w:rsidRPr="00800D22">
        <w:rPr>
          <w:rFonts w:eastAsia="新宋体"/>
          <w:szCs w:val="21"/>
        </w:rPr>
        <w:t>顺序支付</w:t>
      </w:r>
      <w:r w:rsidRPr="00800D22">
        <w:rPr>
          <w:rFonts w:eastAsia="新宋体"/>
          <w:szCs w:val="21"/>
        </w:rPr>
        <w:t>A</w:t>
      </w:r>
      <w:r w:rsidRPr="00800D22">
        <w:rPr>
          <w:rFonts w:eastAsia="新宋体"/>
          <w:szCs w:val="21"/>
        </w:rPr>
        <w:t>、</w:t>
      </w:r>
      <w:r w:rsidRPr="00800D22">
        <w:rPr>
          <w:rFonts w:eastAsia="新宋体"/>
          <w:szCs w:val="21"/>
        </w:rPr>
        <w:t>B</w:t>
      </w:r>
      <w:r w:rsidRPr="00800D22">
        <w:rPr>
          <w:rFonts w:eastAsia="新宋体"/>
          <w:szCs w:val="21"/>
        </w:rPr>
        <w:t>、</w:t>
      </w:r>
      <w:r w:rsidRPr="00800D22">
        <w:rPr>
          <w:rFonts w:eastAsia="新宋体"/>
          <w:szCs w:val="21"/>
        </w:rPr>
        <w:t xml:space="preserve">C </w:t>
      </w:r>
      <w:r w:rsidRPr="00800D22">
        <w:rPr>
          <w:rFonts w:eastAsia="新宋体"/>
          <w:szCs w:val="21"/>
        </w:rPr>
        <w:t>级证券的当期应付利息。如当月收入回收款不足以支付该等费用和</w:t>
      </w:r>
      <w:r w:rsidRPr="00800D22">
        <w:rPr>
          <w:rFonts w:eastAsia="新宋体"/>
          <w:szCs w:val="21"/>
        </w:rPr>
        <w:t>A</w:t>
      </w:r>
      <w:r w:rsidRPr="00800D22">
        <w:rPr>
          <w:rFonts w:eastAsia="新宋体"/>
          <w:szCs w:val="21"/>
        </w:rPr>
        <w:t>、</w:t>
      </w:r>
      <w:r w:rsidRPr="00800D22">
        <w:rPr>
          <w:rFonts w:eastAsia="新宋体"/>
          <w:szCs w:val="21"/>
        </w:rPr>
        <w:t>B</w:t>
      </w:r>
      <w:r w:rsidRPr="00800D22">
        <w:rPr>
          <w:rFonts w:eastAsia="新宋体"/>
          <w:szCs w:val="21"/>
        </w:rPr>
        <w:t>、</w:t>
      </w:r>
      <w:r w:rsidRPr="00800D22">
        <w:rPr>
          <w:rFonts w:eastAsia="新宋体"/>
          <w:szCs w:val="21"/>
        </w:rPr>
        <w:t xml:space="preserve">C </w:t>
      </w:r>
      <w:r w:rsidRPr="00800D22">
        <w:rPr>
          <w:rFonts w:eastAsia="新宋体"/>
          <w:szCs w:val="21"/>
        </w:rPr>
        <w:t>级证券的利息，则本金回收款将转移支付差额部分（本金移转额）。正常情况下，支付</w:t>
      </w:r>
      <w:r w:rsidRPr="00800D22">
        <w:rPr>
          <w:rFonts w:eastAsia="新宋体"/>
          <w:szCs w:val="21"/>
        </w:rPr>
        <w:t>C</w:t>
      </w:r>
      <w:r w:rsidRPr="00800D22">
        <w:rPr>
          <w:rFonts w:eastAsia="新宋体"/>
          <w:szCs w:val="21"/>
        </w:rPr>
        <w:t>级证券当期应付利息后的剩余金额，须先补足所需储备金额，然后补偿先前的本金移转额和累计违约贷款本金额，再支付未付各类费用、支出或报酬，如有余额则支付给次级证券持有人；但在发生加速清偿事件后，该等余额须转入到</w:t>
      </w:r>
      <w:r w:rsidRPr="00800D22">
        <w:rPr>
          <w:rFonts w:eastAsia="新宋体" w:hint="eastAsia"/>
          <w:szCs w:val="21"/>
        </w:rPr>
        <w:t>“</w:t>
      </w:r>
      <w:r w:rsidRPr="00800D22">
        <w:rPr>
          <w:rFonts w:eastAsia="新宋体"/>
          <w:szCs w:val="21"/>
        </w:rPr>
        <w:t>本金分账户</w:t>
      </w:r>
      <w:r w:rsidRPr="00800D22">
        <w:rPr>
          <w:rFonts w:eastAsia="新宋体" w:hint="eastAsia"/>
          <w:szCs w:val="21"/>
        </w:rPr>
        <w:t>”</w:t>
      </w:r>
      <w:r w:rsidRPr="00800D22">
        <w:rPr>
          <w:rFonts w:eastAsia="新宋体"/>
          <w:szCs w:val="21"/>
        </w:rPr>
        <w:t>，用于偿还优先级证券本金。每个月的本金回收款将用来按</w:t>
      </w:r>
      <w:r w:rsidRPr="00800D22">
        <w:rPr>
          <w:rFonts w:eastAsia="新宋体"/>
          <w:szCs w:val="21"/>
        </w:rPr>
        <w:t>A</w:t>
      </w:r>
      <w:r w:rsidRPr="00800D22">
        <w:rPr>
          <w:rFonts w:eastAsia="新宋体"/>
          <w:szCs w:val="21"/>
        </w:rPr>
        <w:t>、</w:t>
      </w:r>
      <w:r w:rsidRPr="00800D22">
        <w:rPr>
          <w:rFonts w:eastAsia="新宋体"/>
          <w:szCs w:val="21"/>
        </w:rPr>
        <w:t>B</w:t>
      </w:r>
      <w:r w:rsidRPr="00800D22">
        <w:rPr>
          <w:rFonts w:eastAsia="新宋体"/>
          <w:szCs w:val="21"/>
        </w:rPr>
        <w:t>、</w:t>
      </w:r>
      <w:r w:rsidRPr="00800D22">
        <w:rPr>
          <w:rFonts w:eastAsia="新宋体"/>
          <w:szCs w:val="21"/>
        </w:rPr>
        <w:t>C</w:t>
      </w:r>
      <w:r w:rsidRPr="00800D22">
        <w:rPr>
          <w:rFonts w:eastAsia="新宋体"/>
          <w:szCs w:val="21"/>
        </w:rPr>
        <w:t>级</w:t>
      </w:r>
      <w:r w:rsidRPr="00800D22">
        <w:rPr>
          <w:rFonts w:eastAsia="新宋体" w:hint="eastAsia"/>
          <w:szCs w:val="21"/>
        </w:rPr>
        <w:t>和</w:t>
      </w:r>
      <w:r w:rsidRPr="00800D22">
        <w:rPr>
          <w:rFonts w:eastAsia="新宋体"/>
          <w:szCs w:val="21"/>
        </w:rPr>
        <w:t>次级的顺序支付各级证券，在前一优先级别证券的本金全部支付完毕后，再支付次一优先级别证券的本金。发生违约事件后，所有的本金和收入回收款将被集中，在支付税收准备和各类费用</w:t>
      </w:r>
      <w:r w:rsidRPr="00800D22">
        <w:rPr>
          <w:rFonts w:eastAsia="新宋体" w:hint="eastAsia"/>
          <w:szCs w:val="21"/>
        </w:rPr>
        <w:t>和</w:t>
      </w:r>
      <w:r w:rsidRPr="00800D22">
        <w:rPr>
          <w:rFonts w:eastAsia="新宋体"/>
          <w:szCs w:val="21"/>
        </w:rPr>
        <w:t>报酬后，按照</w:t>
      </w:r>
      <w:r w:rsidRPr="00800D22">
        <w:rPr>
          <w:rFonts w:eastAsia="新宋体"/>
          <w:szCs w:val="21"/>
        </w:rPr>
        <w:t>A</w:t>
      </w:r>
      <w:r w:rsidRPr="00800D22">
        <w:rPr>
          <w:rFonts w:eastAsia="新宋体"/>
          <w:szCs w:val="21"/>
        </w:rPr>
        <w:t>、</w:t>
      </w:r>
      <w:r w:rsidRPr="00800D22">
        <w:rPr>
          <w:rFonts w:eastAsia="新宋体"/>
          <w:szCs w:val="21"/>
        </w:rPr>
        <w:t>B</w:t>
      </w:r>
      <w:r w:rsidRPr="00800D22">
        <w:rPr>
          <w:rFonts w:eastAsia="新宋体"/>
          <w:szCs w:val="21"/>
        </w:rPr>
        <w:t>、</w:t>
      </w:r>
      <w:r w:rsidRPr="00800D22">
        <w:rPr>
          <w:rFonts w:eastAsia="新宋体"/>
          <w:szCs w:val="21"/>
        </w:rPr>
        <w:t>C</w:t>
      </w:r>
      <w:r w:rsidRPr="00800D22">
        <w:rPr>
          <w:rFonts w:eastAsia="新宋体"/>
          <w:szCs w:val="21"/>
        </w:rPr>
        <w:t>级</w:t>
      </w:r>
      <w:r w:rsidRPr="00800D22">
        <w:rPr>
          <w:rFonts w:eastAsia="新宋体" w:hint="eastAsia"/>
          <w:szCs w:val="21"/>
        </w:rPr>
        <w:t>和</w:t>
      </w:r>
      <w:r w:rsidRPr="00800D22">
        <w:rPr>
          <w:rFonts w:eastAsia="新宋体"/>
          <w:szCs w:val="21"/>
        </w:rPr>
        <w:t>次级的顺序支付。各级证券本息，在前一优先级别证券的本金全部支付完毕前，次一优先级别证券不能获得任何支付。根据上述现金流支付顺序确定的优先级</w:t>
      </w:r>
      <w:r w:rsidRPr="00800D22">
        <w:rPr>
          <w:rFonts w:eastAsia="新宋体"/>
          <w:szCs w:val="21"/>
        </w:rPr>
        <w:t xml:space="preserve">/ </w:t>
      </w:r>
      <w:r w:rsidRPr="00800D22">
        <w:rPr>
          <w:rFonts w:eastAsia="新宋体"/>
          <w:szCs w:val="21"/>
        </w:rPr>
        <w:t>次级支付机制：</w:t>
      </w:r>
      <w:r w:rsidRPr="00800D22">
        <w:rPr>
          <w:rFonts w:eastAsia="新宋体"/>
          <w:szCs w:val="21"/>
        </w:rPr>
        <w:t>A</w:t>
      </w:r>
      <w:r w:rsidRPr="00800D22">
        <w:rPr>
          <w:rFonts w:eastAsia="新宋体"/>
          <w:szCs w:val="21"/>
        </w:rPr>
        <w:t>级证券获得由</w:t>
      </w:r>
      <w:r w:rsidRPr="00800D22">
        <w:rPr>
          <w:rFonts w:eastAsia="新宋体"/>
          <w:szCs w:val="21"/>
        </w:rPr>
        <w:t>B</w:t>
      </w:r>
      <w:r w:rsidRPr="00800D22">
        <w:rPr>
          <w:rFonts w:eastAsia="新宋体"/>
          <w:szCs w:val="21"/>
        </w:rPr>
        <w:t>级、</w:t>
      </w:r>
      <w:r w:rsidRPr="00800D22">
        <w:rPr>
          <w:rFonts w:eastAsia="新宋体"/>
          <w:szCs w:val="21"/>
        </w:rPr>
        <w:t>C</w:t>
      </w:r>
      <w:r w:rsidRPr="00800D22">
        <w:rPr>
          <w:rFonts w:eastAsia="新宋体"/>
          <w:szCs w:val="21"/>
        </w:rPr>
        <w:t>级和次级证券承担</w:t>
      </w:r>
      <w:r w:rsidRPr="00800D22">
        <w:rPr>
          <w:rFonts w:eastAsia="新宋体"/>
          <w:szCs w:val="21"/>
        </w:rPr>
        <w:t>11.5%</w:t>
      </w:r>
      <w:r w:rsidRPr="00800D22">
        <w:rPr>
          <w:rFonts w:eastAsia="新宋体"/>
          <w:szCs w:val="21"/>
        </w:rPr>
        <w:t>的预期损失而提供的信用支持，优先级</w:t>
      </w:r>
      <w:r w:rsidRPr="00800D22">
        <w:rPr>
          <w:rFonts w:eastAsia="新宋体"/>
          <w:szCs w:val="21"/>
        </w:rPr>
        <w:t>B</w:t>
      </w:r>
      <w:r w:rsidRPr="00800D22">
        <w:rPr>
          <w:rFonts w:eastAsia="新宋体"/>
          <w:szCs w:val="21"/>
        </w:rPr>
        <w:t>级获得</w:t>
      </w:r>
      <w:r w:rsidRPr="00800D22">
        <w:rPr>
          <w:rFonts w:eastAsia="新宋体"/>
          <w:szCs w:val="21"/>
        </w:rPr>
        <w:t>C</w:t>
      </w:r>
      <w:r w:rsidRPr="00800D22">
        <w:rPr>
          <w:rFonts w:eastAsia="新宋体"/>
          <w:szCs w:val="21"/>
        </w:rPr>
        <w:t>级和次级证券承担</w:t>
      </w:r>
      <w:r w:rsidRPr="00800D22">
        <w:rPr>
          <w:rFonts w:eastAsia="新宋体"/>
          <w:szCs w:val="21"/>
        </w:rPr>
        <w:t>4.75%</w:t>
      </w:r>
      <w:r w:rsidRPr="00800D22">
        <w:rPr>
          <w:rFonts w:eastAsia="新宋体"/>
          <w:szCs w:val="21"/>
        </w:rPr>
        <w:t>的预期损失而提供的信用支持，优先级</w:t>
      </w:r>
      <w:r w:rsidRPr="00800D22">
        <w:rPr>
          <w:rFonts w:eastAsia="新宋体"/>
          <w:szCs w:val="21"/>
        </w:rPr>
        <w:t>C</w:t>
      </w:r>
      <w:r w:rsidRPr="00800D22">
        <w:rPr>
          <w:rFonts w:eastAsia="新宋体"/>
          <w:szCs w:val="21"/>
        </w:rPr>
        <w:t>级获得次级证券承担</w:t>
      </w:r>
      <w:r w:rsidRPr="00800D22">
        <w:rPr>
          <w:rFonts w:eastAsia="新宋体"/>
          <w:szCs w:val="21"/>
        </w:rPr>
        <w:t>3%</w:t>
      </w:r>
      <w:r w:rsidRPr="00800D22">
        <w:rPr>
          <w:rFonts w:eastAsia="新宋体"/>
          <w:szCs w:val="21"/>
        </w:rPr>
        <w:t>的预期损失而提供的信用支持。次级证券将由建行持有，同时也可转让给有购买意愿的投资者；当贷款出现损失，先由建行承担，以此实现对优先级证券的增信。</w:t>
      </w:r>
    </w:p>
    <w:p w14:paraId="72386D6E" w14:textId="77777777" w:rsidR="000E3BCC" w:rsidRDefault="000E3BCC"/>
    <w:p w14:paraId="0FC86C51" w14:textId="43F3FBCA" w:rsidR="000E3BCC" w:rsidRPr="00800D22" w:rsidRDefault="000E3BCC" w:rsidP="000E3BCC">
      <w:pPr>
        <w:spacing w:beforeLines="100" w:before="312" w:afterLines="100" w:after="312" w:line="440" w:lineRule="exact"/>
        <w:rPr>
          <w:rFonts w:hint="eastAsia"/>
          <w:b/>
          <w:szCs w:val="21"/>
        </w:rPr>
      </w:pPr>
      <w:r w:rsidRPr="00800D22">
        <w:rPr>
          <w:rFonts w:hint="eastAsia"/>
          <w:b/>
          <w:szCs w:val="21"/>
        </w:rPr>
        <w:t>案例</w:t>
      </w:r>
      <w:r>
        <w:rPr>
          <w:rFonts w:hint="eastAsia"/>
          <w:b/>
          <w:szCs w:val="21"/>
        </w:rPr>
        <w:t>2</w:t>
      </w:r>
      <w:r w:rsidRPr="00800D22">
        <w:rPr>
          <w:rFonts w:hint="eastAsia"/>
          <w:b/>
          <w:szCs w:val="21"/>
        </w:rPr>
        <w:t xml:space="preserve">  </w:t>
      </w:r>
      <w:r w:rsidRPr="00800D22">
        <w:rPr>
          <w:rFonts w:hint="eastAsia"/>
          <w:b/>
          <w:szCs w:val="21"/>
        </w:rPr>
        <w:t>东</w:t>
      </w:r>
      <w:r w:rsidRPr="00800D22">
        <w:rPr>
          <w:b/>
          <w:szCs w:val="21"/>
        </w:rPr>
        <w:t>元</w:t>
      </w:r>
      <w:r w:rsidRPr="00800D22">
        <w:rPr>
          <w:b/>
          <w:szCs w:val="21"/>
        </w:rPr>
        <w:t>200</w:t>
      </w:r>
      <w:r w:rsidRPr="00800D22">
        <w:rPr>
          <w:rFonts w:hint="eastAsia"/>
          <w:b/>
          <w:szCs w:val="21"/>
        </w:rPr>
        <w:t>6-1</w:t>
      </w:r>
      <w:r w:rsidRPr="00800D22">
        <w:rPr>
          <w:rFonts w:hint="eastAsia"/>
          <w:b/>
          <w:szCs w:val="21"/>
        </w:rPr>
        <w:t>优先级重整资产支持证券</w:t>
      </w:r>
    </w:p>
    <w:p w14:paraId="16F00E8F" w14:textId="1D9AF084" w:rsidR="000E3BCC" w:rsidRPr="00800D22" w:rsidRDefault="000E3BCC" w:rsidP="000E3BCC">
      <w:pPr>
        <w:pStyle w:val="af"/>
        <w:spacing w:beforeLines="100" w:before="312"/>
        <w:jc w:val="center"/>
        <w:rPr>
          <w:rFonts w:ascii="Times New Roman" w:eastAsia="新宋体" w:hAnsi="新宋体" w:cs="Times New Roman" w:hint="eastAsia"/>
          <w:sz w:val="21"/>
          <w:szCs w:val="21"/>
        </w:rPr>
      </w:pPr>
      <w:bookmarkStart w:id="9" w:name="_Toc256506516"/>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东元</w:t>
      </w:r>
      <w:r w:rsidRPr="00800D22">
        <w:rPr>
          <w:rFonts w:ascii="Times New Roman" w:eastAsia="新宋体" w:hAnsi="新宋体" w:cs="Times New Roman" w:hint="eastAsia"/>
          <w:sz w:val="21"/>
          <w:szCs w:val="21"/>
        </w:rPr>
        <w:t>2006-1</w:t>
      </w:r>
      <w:r w:rsidRPr="00800D22">
        <w:rPr>
          <w:rFonts w:ascii="Times New Roman" w:eastAsia="新宋体" w:hAnsi="新宋体" w:cs="Times New Roman" w:hint="eastAsia"/>
          <w:sz w:val="21"/>
          <w:szCs w:val="21"/>
        </w:rPr>
        <w:t>优先级重整资产支持证券发行概况</w:t>
      </w:r>
      <w:bookmarkEnd w:id="9"/>
    </w:p>
    <w:p w14:paraId="126B4118" w14:textId="00155316" w:rsidR="000E3BCC" w:rsidRPr="00800D22" w:rsidRDefault="000E3BCC" w:rsidP="000E3BCC">
      <w:pPr>
        <w:jc w:val="center"/>
        <w:rPr>
          <w:rFonts w:hint="eastAsia"/>
        </w:rPr>
      </w:pPr>
      <w:r w:rsidRPr="00800D22">
        <w:rPr>
          <w:rFonts w:hint="eastAsia"/>
          <w:szCs w:val="21"/>
        </w:rPr>
        <w:t>T</w:t>
      </w:r>
      <w:r w:rsidRPr="00800D22">
        <w:rPr>
          <w:szCs w:val="21"/>
        </w:rPr>
        <w:t>able</w:t>
      </w:r>
      <w:r>
        <w:rPr>
          <w:rFonts w:hint="eastAsia"/>
          <w:szCs w:val="21"/>
        </w:rPr>
        <w:t xml:space="preserve"> 3</w:t>
      </w:r>
      <w:r w:rsidRPr="00800D22">
        <w:rPr>
          <w:rFonts w:hint="eastAsia"/>
          <w:szCs w:val="21"/>
        </w:rPr>
        <w:t xml:space="preserve">  </w:t>
      </w:r>
      <w:r w:rsidRPr="00800D22">
        <w:t xml:space="preserve">Issue </w:t>
      </w:r>
      <w:r w:rsidRPr="00800D22">
        <w:rPr>
          <w:rFonts w:hint="eastAsia"/>
        </w:rPr>
        <w:t>o</w:t>
      </w:r>
      <w:r w:rsidRPr="00800D22">
        <w:t>verview</w:t>
      </w:r>
      <w:r w:rsidRPr="00800D22">
        <w:rPr>
          <w:rFonts w:hint="eastAsia"/>
        </w:rPr>
        <w:t xml:space="preserve"> of </w:t>
      </w:r>
      <w:r w:rsidRPr="00800D22">
        <w:t>“</w:t>
      </w:r>
      <w:proofErr w:type="spellStart"/>
      <w:r w:rsidRPr="00800D22">
        <w:rPr>
          <w:rFonts w:hint="eastAsia"/>
        </w:rPr>
        <w:t>Dongyuan</w:t>
      </w:r>
      <w:proofErr w:type="spellEnd"/>
      <w:r w:rsidRPr="00800D22">
        <w:rPr>
          <w:rFonts w:hint="eastAsia"/>
        </w:rPr>
        <w:t xml:space="preserve"> 2006-1 p</w:t>
      </w:r>
      <w:r w:rsidRPr="00800D22">
        <w:t>riority restructure asset-backed securities”</w:t>
      </w:r>
    </w:p>
    <w:tbl>
      <w:tblPr>
        <w:tblW w:w="5000" w:type="pct"/>
        <w:tblBorders>
          <w:top w:val="single" w:sz="4" w:space="0" w:color="auto"/>
          <w:bottom w:val="single" w:sz="4" w:space="0" w:color="auto"/>
        </w:tblBorders>
        <w:tblLook w:val="01E0" w:firstRow="1" w:lastRow="1" w:firstColumn="1" w:lastColumn="1" w:noHBand="0" w:noVBand="0"/>
      </w:tblPr>
      <w:tblGrid>
        <w:gridCol w:w="1113"/>
        <w:gridCol w:w="1113"/>
        <w:gridCol w:w="1113"/>
        <w:gridCol w:w="1113"/>
        <w:gridCol w:w="4070"/>
      </w:tblGrid>
      <w:tr w:rsidR="000E3BCC" w:rsidRPr="00800D22" w14:paraId="4421A208" w14:textId="77777777" w:rsidTr="000A32F1">
        <w:trPr>
          <w:trHeight w:hRule="exact" w:val="340"/>
        </w:trPr>
        <w:tc>
          <w:tcPr>
            <w:tcW w:w="653" w:type="pct"/>
            <w:tcBorders>
              <w:top w:val="single" w:sz="4" w:space="0" w:color="auto"/>
              <w:bottom w:val="single" w:sz="4" w:space="0" w:color="auto"/>
            </w:tcBorders>
            <w:vAlign w:val="center"/>
          </w:tcPr>
          <w:p w14:paraId="37ACF196"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类别名称</w:t>
            </w:r>
          </w:p>
        </w:tc>
        <w:tc>
          <w:tcPr>
            <w:tcW w:w="653" w:type="pct"/>
            <w:tcBorders>
              <w:top w:val="single" w:sz="4" w:space="0" w:color="auto"/>
              <w:bottom w:val="single" w:sz="4" w:space="0" w:color="auto"/>
            </w:tcBorders>
            <w:vAlign w:val="center"/>
          </w:tcPr>
          <w:p w14:paraId="00BCE65B"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发行规模</w:t>
            </w:r>
          </w:p>
        </w:tc>
        <w:tc>
          <w:tcPr>
            <w:tcW w:w="653" w:type="pct"/>
            <w:tcBorders>
              <w:top w:val="single" w:sz="4" w:space="0" w:color="auto"/>
              <w:bottom w:val="single" w:sz="4" w:space="0" w:color="auto"/>
            </w:tcBorders>
          </w:tcPr>
          <w:p w14:paraId="69DDE2E2"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发行期限</w:t>
            </w:r>
          </w:p>
        </w:tc>
        <w:tc>
          <w:tcPr>
            <w:tcW w:w="653" w:type="pct"/>
            <w:tcBorders>
              <w:top w:val="single" w:sz="4" w:space="0" w:color="auto"/>
              <w:bottom w:val="single" w:sz="4" w:space="0" w:color="auto"/>
            </w:tcBorders>
            <w:vAlign w:val="center"/>
          </w:tcPr>
          <w:p w14:paraId="0055F04B"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信用等级</w:t>
            </w:r>
          </w:p>
        </w:tc>
        <w:tc>
          <w:tcPr>
            <w:tcW w:w="2388" w:type="pct"/>
            <w:tcBorders>
              <w:top w:val="single" w:sz="4" w:space="0" w:color="auto"/>
              <w:bottom w:val="single" w:sz="4" w:space="0" w:color="auto"/>
            </w:tcBorders>
          </w:tcPr>
          <w:p w14:paraId="7BF0134E"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增信方式</w:t>
            </w:r>
          </w:p>
        </w:tc>
      </w:tr>
      <w:tr w:rsidR="000E3BCC" w:rsidRPr="00800D22" w14:paraId="355E7B4A" w14:textId="77777777" w:rsidTr="000A32F1">
        <w:trPr>
          <w:trHeight w:hRule="exact" w:val="340"/>
        </w:trPr>
        <w:tc>
          <w:tcPr>
            <w:tcW w:w="653" w:type="pct"/>
            <w:tcBorders>
              <w:top w:val="single" w:sz="4" w:space="0" w:color="auto"/>
            </w:tcBorders>
            <w:vAlign w:val="center"/>
          </w:tcPr>
          <w:p w14:paraId="5951D729" w14:textId="77777777" w:rsidR="000E3BCC" w:rsidRPr="00800D22" w:rsidRDefault="000E3BCC" w:rsidP="000A32F1">
            <w:pPr>
              <w:widowControl/>
              <w:rPr>
                <w:rFonts w:eastAsia="新宋体" w:hint="eastAsia"/>
                <w:sz w:val="18"/>
                <w:szCs w:val="18"/>
              </w:rPr>
            </w:pPr>
            <w:r w:rsidRPr="00800D22">
              <w:rPr>
                <w:rFonts w:hint="eastAsia"/>
                <w:sz w:val="18"/>
                <w:szCs w:val="18"/>
              </w:rPr>
              <w:t>优先级</w:t>
            </w:r>
          </w:p>
        </w:tc>
        <w:tc>
          <w:tcPr>
            <w:tcW w:w="653" w:type="pct"/>
            <w:tcBorders>
              <w:top w:val="single" w:sz="4" w:space="0" w:color="auto"/>
            </w:tcBorders>
            <w:vAlign w:val="center"/>
          </w:tcPr>
          <w:p w14:paraId="33B819F6"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7.00</w:t>
            </w:r>
            <w:r w:rsidRPr="00800D22">
              <w:rPr>
                <w:rFonts w:eastAsia="新宋体" w:hint="eastAsia"/>
                <w:sz w:val="18"/>
                <w:szCs w:val="18"/>
              </w:rPr>
              <w:t>亿元</w:t>
            </w:r>
          </w:p>
        </w:tc>
        <w:tc>
          <w:tcPr>
            <w:tcW w:w="653" w:type="pct"/>
            <w:tcBorders>
              <w:top w:val="single" w:sz="4" w:space="0" w:color="auto"/>
            </w:tcBorders>
          </w:tcPr>
          <w:p w14:paraId="38C8B295"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3</w:t>
            </w:r>
            <w:r w:rsidRPr="00800D22">
              <w:rPr>
                <w:rFonts w:eastAsia="新宋体" w:hint="eastAsia"/>
                <w:sz w:val="18"/>
                <w:szCs w:val="18"/>
              </w:rPr>
              <w:t>年</w:t>
            </w:r>
          </w:p>
        </w:tc>
        <w:tc>
          <w:tcPr>
            <w:tcW w:w="653" w:type="pct"/>
            <w:tcBorders>
              <w:top w:val="single" w:sz="4" w:space="0" w:color="auto"/>
            </w:tcBorders>
            <w:vAlign w:val="center"/>
          </w:tcPr>
          <w:p w14:paraId="0677CB29"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AAA</w:t>
            </w:r>
          </w:p>
        </w:tc>
        <w:tc>
          <w:tcPr>
            <w:tcW w:w="2388" w:type="pct"/>
            <w:tcBorders>
              <w:top w:val="single" w:sz="4" w:space="0" w:color="auto"/>
            </w:tcBorders>
          </w:tcPr>
          <w:p w14:paraId="3CB98CE1" w14:textId="77777777" w:rsidR="000E3BCC" w:rsidRPr="00800D22" w:rsidRDefault="000E3BCC" w:rsidP="000A32F1">
            <w:pPr>
              <w:widowControl/>
              <w:rPr>
                <w:rFonts w:eastAsia="新宋体" w:hint="eastAsia"/>
                <w:sz w:val="18"/>
                <w:szCs w:val="18"/>
              </w:rPr>
            </w:pPr>
            <w:r w:rsidRPr="00800D22">
              <w:rPr>
                <w:rFonts w:eastAsia="新宋体" w:hint="eastAsia"/>
                <w:sz w:val="18"/>
                <w:szCs w:val="18"/>
              </w:rPr>
              <w:t>优先</w:t>
            </w:r>
            <w:r w:rsidRPr="00800D22">
              <w:rPr>
                <w:rFonts w:eastAsia="新宋体" w:hint="eastAsia"/>
                <w:sz w:val="18"/>
                <w:szCs w:val="18"/>
              </w:rPr>
              <w:t>/</w:t>
            </w:r>
            <w:r w:rsidRPr="00800D22">
              <w:rPr>
                <w:rFonts w:eastAsia="新宋体" w:hint="eastAsia"/>
                <w:sz w:val="18"/>
                <w:szCs w:val="18"/>
              </w:rPr>
              <w:t>次级结构、信托准备金帐户和流动性支持</w:t>
            </w:r>
          </w:p>
        </w:tc>
      </w:tr>
    </w:tbl>
    <w:p w14:paraId="04ACA0C6" w14:textId="77777777" w:rsidR="000E3BCC" w:rsidRPr="00800D22" w:rsidRDefault="000E3BCC" w:rsidP="000E3BCC">
      <w:pPr>
        <w:widowControl/>
        <w:spacing w:beforeLines="100" w:before="312" w:line="440" w:lineRule="exact"/>
        <w:ind w:firstLineChars="200" w:firstLine="420"/>
        <w:rPr>
          <w:rFonts w:eastAsia="新宋体" w:hint="eastAsia"/>
          <w:szCs w:val="21"/>
        </w:rPr>
      </w:pPr>
      <w:r w:rsidRPr="00800D22">
        <w:rPr>
          <w:rFonts w:hint="eastAsia"/>
          <w:szCs w:val="21"/>
        </w:rPr>
        <w:t>“东</w:t>
      </w:r>
      <w:r w:rsidRPr="00800D22">
        <w:rPr>
          <w:szCs w:val="21"/>
        </w:rPr>
        <w:t>元</w:t>
      </w:r>
      <w:r w:rsidRPr="00800D22">
        <w:rPr>
          <w:szCs w:val="21"/>
        </w:rPr>
        <w:t>200</w:t>
      </w:r>
      <w:r w:rsidRPr="00800D22">
        <w:rPr>
          <w:rFonts w:hint="eastAsia"/>
          <w:szCs w:val="21"/>
        </w:rPr>
        <w:t>6-1</w:t>
      </w:r>
      <w:r w:rsidRPr="00800D22">
        <w:rPr>
          <w:rFonts w:hint="eastAsia"/>
          <w:szCs w:val="21"/>
        </w:rPr>
        <w:t>优先级重整资产支持证券”</w:t>
      </w:r>
      <w:r w:rsidRPr="00800D22">
        <w:rPr>
          <w:rFonts w:eastAsia="新宋体" w:hint="eastAsia"/>
          <w:szCs w:val="21"/>
        </w:rPr>
        <w:t>由</w:t>
      </w:r>
      <w:r w:rsidRPr="00800D22">
        <w:rPr>
          <w:rFonts w:hint="eastAsia"/>
          <w:szCs w:val="21"/>
        </w:rPr>
        <w:t>中国东方资产管理公司（以下简称“东方公司”）于</w:t>
      </w:r>
      <w:smartTag w:uri="urn:schemas-microsoft-com:office:smarttags" w:element="chsdate">
        <w:smartTagPr>
          <w:attr w:name="IsROCDate" w:val="False"/>
          <w:attr w:name="IsLunarDate" w:val="False"/>
          <w:attr w:name="Day" w:val="18"/>
          <w:attr w:name="Month" w:val="12"/>
          <w:attr w:name="Year" w:val="2006"/>
        </w:smartTagPr>
        <w:r w:rsidRPr="00800D22">
          <w:rPr>
            <w:rFonts w:hint="eastAsia"/>
            <w:szCs w:val="21"/>
          </w:rPr>
          <w:t>2006</w:t>
        </w:r>
        <w:r w:rsidRPr="00800D22">
          <w:rPr>
            <w:rFonts w:hint="eastAsia"/>
            <w:szCs w:val="21"/>
          </w:rPr>
          <w:t>年</w:t>
        </w:r>
        <w:r w:rsidRPr="00800D22">
          <w:rPr>
            <w:rFonts w:hint="eastAsia"/>
            <w:szCs w:val="21"/>
          </w:rPr>
          <w:t>12</w:t>
        </w:r>
        <w:r w:rsidRPr="00800D22">
          <w:rPr>
            <w:rFonts w:hint="eastAsia"/>
            <w:szCs w:val="21"/>
          </w:rPr>
          <w:t>月</w:t>
        </w:r>
        <w:r w:rsidRPr="00800D22">
          <w:rPr>
            <w:rFonts w:hint="eastAsia"/>
            <w:szCs w:val="21"/>
          </w:rPr>
          <w:t>18</w:t>
        </w:r>
        <w:r w:rsidRPr="00800D22">
          <w:rPr>
            <w:rFonts w:hint="eastAsia"/>
            <w:szCs w:val="21"/>
          </w:rPr>
          <w:t>日</w:t>
        </w:r>
      </w:smartTag>
      <w:r w:rsidRPr="00800D22">
        <w:rPr>
          <w:rFonts w:hint="eastAsia"/>
          <w:szCs w:val="21"/>
        </w:rPr>
        <w:t>发起，发行人为中诚信托投资有限责任公司（以下简称“中诚信托”）。</w:t>
      </w:r>
      <w:r w:rsidRPr="00800D22">
        <w:rPr>
          <w:rFonts w:eastAsia="新宋体" w:hint="eastAsia"/>
          <w:szCs w:val="21"/>
        </w:rPr>
        <w:t>该</w:t>
      </w:r>
      <w:r w:rsidRPr="00800D22">
        <w:rPr>
          <w:rFonts w:eastAsia="新宋体"/>
          <w:szCs w:val="21"/>
        </w:rPr>
        <w:t>资产支持证券</w:t>
      </w:r>
      <w:r w:rsidRPr="00800D22">
        <w:rPr>
          <w:rFonts w:eastAsia="新宋体" w:hint="eastAsia"/>
          <w:szCs w:val="21"/>
        </w:rPr>
        <w:t>是我国</w:t>
      </w:r>
      <w:r w:rsidRPr="00800D22">
        <w:rPr>
          <w:rFonts w:eastAsia="新宋体"/>
          <w:szCs w:val="21"/>
        </w:rPr>
        <w:t>市场上首批非银行金融机构</w:t>
      </w:r>
      <w:r w:rsidRPr="00800D22">
        <w:rPr>
          <w:rFonts w:eastAsia="新宋体" w:hint="eastAsia"/>
          <w:szCs w:val="21"/>
        </w:rPr>
        <w:t>不良资产证券化</w:t>
      </w:r>
      <w:r w:rsidRPr="00800D22">
        <w:rPr>
          <w:rFonts w:eastAsia="新宋体"/>
          <w:szCs w:val="21"/>
        </w:rPr>
        <w:t>产品</w:t>
      </w:r>
      <w:r w:rsidRPr="00800D22">
        <w:rPr>
          <w:rFonts w:eastAsia="新宋体" w:hint="eastAsia"/>
          <w:szCs w:val="21"/>
        </w:rPr>
        <w:t>。</w:t>
      </w:r>
    </w:p>
    <w:p w14:paraId="6DA08C11" w14:textId="77777777" w:rsidR="000E3BCC" w:rsidRPr="00800D22" w:rsidRDefault="000E3BCC" w:rsidP="000E3BCC">
      <w:pPr>
        <w:widowControl/>
        <w:spacing w:line="440" w:lineRule="exact"/>
        <w:ind w:firstLine="480"/>
        <w:rPr>
          <w:rFonts w:eastAsia="新宋体" w:hint="eastAsia"/>
          <w:szCs w:val="21"/>
        </w:rPr>
      </w:pPr>
      <w:r w:rsidRPr="00800D22">
        <w:rPr>
          <w:rFonts w:eastAsia="新宋体"/>
          <w:szCs w:val="21"/>
        </w:rPr>
        <w:t>项目入池资产共有</w:t>
      </w:r>
      <w:r w:rsidRPr="00800D22">
        <w:rPr>
          <w:rFonts w:eastAsia="新宋体"/>
          <w:szCs w:val="21"/>
        </w:rPr>
        <w:t>1</w:t>
      </w:r>
      <w:r w:rsidRPr="00800D22">
        <w:rPr>
          <w:rFonts w:eastAsia="新宋体" w:hint="eastAsia"/>
          <w:szCs w:val="21"/>
        </w:rPr>
        <w:t>,</w:t>
      </w:r>
      <w:r w:rsidRPr="00800D22">
        <w:rPr>
          <w:rFonts w:eastAsia="新宋体"/>
          <w:szCs w:val="21"/>
        </w:rPr>
        <w:t>52</w:t>
      </w:r>
      <w:r w:rsidRPr="00800D22">
        <w:rPr>
          <w:rFonts w:eastAsia="新宋体" w:hint="eastAsia"/>
          <w:szCs w:val="21"/>
        </w:rPr>
        <w:t>5</w:t>
      </w:r>
      <w:r w:rsidRPr="00800D22">
        <w:rPr>
          <w:rFonts w:eastAsia="新宋体"/>
          <w:szCs w:val="21"/>
        </w:rPr>
        <w:t>户，</w:t>
      </w:r>
      <w:r w:rsidRPr="00800D22">
        <w:rPr>
          <w:rFonts w:eastAsia="新宋体"/>
          <w:szCs w:val="21"/>
        </w:rPr>
        <w:t>2</w:t>
      </w:r>
      <w:r w:rsidRPr="00800D22">
        <w:rPr>
          <w:rFonts w:eastAsia="新宋体" w:hint="eastAsia"/>
          <w:szCs w:val="21"/>
        </w:rPr>
        <w:t>,</w:t>
      </w:r>
      <w:r w:rsidRPr="00800D22">
        <w:rPr>
          <w:rFonts w:eastAsia="新宋体"/>
          <w:szCs w:val="21"/>
        </w:rPr>
        <w:t>11</w:t>
      </w:r>
      <w:r w:rsidRPr="00800D22">
        <w:rPr>
          <w:rFonts w:eastAsia="新宋体" w:hint="eastAsia"/>
          <w:szCs w:val="21"/>
        </w:rPr>
        <w:t>4</w:t>
      </w:r>
      <w:r w:rsidRPr="00800D22">
        <w:rPr>
          <w:rFonts w:eastAsia="新宋体"/>
          <w:szCs w:val="21"/>
        </w:rPr>
        <w:t>笔不良债权，总本金余额为</w:t>
      </w:r>
      <w:r w:rsidRPr="00800D22">
        <w:rPr>
          <w:rFonts w:eastAsia="新宋体"/>
          <w:szCs w:val="21"/>
        </w:rPr>
        <w:t>62.</w:t>
      </w:r>
      <w:r w:rsidRPr="00800D22">
        <w:rPr>
          <w:rFonts w:eastAsia="新宋体" w:hint="eastAsia"/>
          <w:szCs w:val="21"/>
        </w:rPr>
        <w:t>20</w:t>
      </w:r>
      <w:r w:rsidRPr="00800D22">
        <w:rPr>
          <w:rFonts w:eastAsia="新宋体"/>
          <w:szCs w:val="21"/>
        </w:rPr>
        <w:t>亿元</w:t>
      </w:r>
      <w:r w:rsidRPr="00800D22">
        <w:rPr>
          <w:rFonts w:eastAsia="新宋体" w:hint="eastAsia"/>
          <w:szCs w:val="21"/>
        </w:rPr>
        <w:t>。资产池中资产均分布在辽宁省内，其中沈阳和大连地区本金所占比重分别为</w:t>
      </w:r>
      <w:r w:rsidRPr="00800D22">
        <w:rPr>
          <w:rFonts w:eastAsia="新宋体" w:hint="eastAsia"/>
          <w:szCs w:val="21"/>
        </w:rPr>
        <w:t>58.10%</w:t>
      </w:r>
      <w:r w:rsidRPr="00800D22">
        <w:rPr>
          <w:rFonts w:eastAsia="新宋体" w:hint="eastAsia"/>
          <w:szCs w:val="21"/>
        </w:rPr>
        <w:t>和</w:t>
      </w:r>
      <w:r w:rsidRPr="00800D22">
        <w:rPr>
          <w:rFonts w:eastAsia="新宋体" w:hint="eastAsia"/>
          <w:szCs w:val="21"/>
        </w:rPr>
        <w:t>19.43%</w:t>
      </w:r>
      <w:r w:rsidRPr="00800D22">
        <w:rPr>
          <w:rFonts w:eastAsia="新宋体" w:hint="eastAsia"/>
          <w:szCs w:val="21"/>
        </w:rPr>
        <w:t>，地域分布比较集中；从行业来看，主要分布在建筑、商贸和房地产行业，比重分别为</w:t>
      </w:r>
      <w:r w:rsidRPr="00800D22">
        <w:rPr>
          <w:rFonts w:eastAsia="新宋体" w:hint="eastAsia"/>
          <w:szCs w:val="21"/>
        </w:rPr>
        <w:t>21.97%</w:t>
      </w:r>
      <w:r w:rsidRPr="00800D22">
        <w:rPr>
          <w:rFonts w:eastAsia="新宋体" w:hint="eastAsia"/>
          <w:szCs w:val="21"/>
        </w:rPr>
        <w:t>、</w:t>
      </w:r>
      <w:r w:rsidRPr="00800D22">
        <w:rPr>
          <w:rFonts w:eastAsia="新宋体" w:hint="eastAsia"/>
          <w:szCs w:val="21"/>
        </w:rPr>
        <w:t>16.11%</w:t>
      </w:r>
      <w:r w:rsidRPr="00800D22">
        <w:rPr>
          <w:rFonts w:eastAsia="新宋体" w:hint="eastAsia"/>
          <w:szCs w:val="21"/>
        </w:rPr>
        <w:t>和</w:t>
      </w:r>
      <w:r w:rsidRPr="00800D22">
        <w:rPr>
          <w:rFonts w:eastAsia="新宋体" w:hint="eastAsia"/>
          <w:szCs w:val="21"/>
        </w:rPr>
        <w:t>13.34%</w:t>
      </w:r>
      <w:r w:rsidRPr="00800D22">
        <w:rPr>
          <w:rFonts w:eastAsia="新宋体" w:hint="eastAsia"/>
          <w:szCs w:val="21"/>
        </w:rPr>
        <w:t>，资产在行业分布上比较分散；从债务人集中度来看，前</w:t>
      </w:r>
      <w:r w:rsidRPr="00800D22">
        <w:rPr>
          <w:rFonts w:eastAsia="新宋体" w:hint="eastAsia"/>
          <w:szCs w:val="21"/>
        </w:rPr>
        <w:t>5%</w:t>
      </w:r>
      <w:r w:rsidRPr="00800D22">
        <w:rPr>
          <w:rFonts w:eastAsia="新宋体" w:hint="eastAsia"/>
          <w:szCs w:val="21"/>
        </w:rPr>
        <w:t>的债务人本金合计占资产池本金总额的</w:t>
      </w:r>
      <w:r w:rsidRPr="00800D22">
        <w:rPr>
          <w:rFonts w:eastAsia="新宋体" w:hint="eastAsia"/>
          <w:szCs w:val="21"/>
        </w:rPr>
        <w:t>33.84%</w:t>
      </w:r>
      <w:r w:rsidRPr="00800D22">
        <w:rPr>
          <w:rFonts w:eastAsia="新宋体" w:hint="eastAsia"/>
          <w:szCs w:val="21"/>
        </w:rPr>
        <w:t>，前</w:t>
      </w:r>
      <w:r w:rsidRPr="00800D22">
        <w:rPr>
          <w:rFonts w:eastAsia="新宋体" w:hint="eastAsia"/>
          <w:szCs w:val="21"/>
        </w:rPr>
        <w:t>20%</w:t>
      </w:r>
      <w:r w:rsidRPr="00800D22">
        <w:rPr>
          <w:rFonts w:eastAsia="新宋体" w:hint="eastAsia"/>
          <w:szCs w:val="21"/>
        </w:rPr>
        <w:t>的债务人本金合计占资产池本金总额的</w:t>
      </w:r>
      <w:r w:rsidRPr="00800D22">
        <w:rPr>
          <w:rFonts w:eastAsia="新宋体" w:hint="eastAsia"/>
          <w:szCs w:val="21"/>
        </w:rPr>
        <w:t>63.08%</w:t>
      </w:r>
      <w:r w:rsidRPr="00800D22">
        <w:rPr>
          <w:rFonts w:eastAsia="新宋体" w:hint="eastAsia"/>
          <w:szCs w:val="21"/>
        </w:rPr>
        <w:t>，本金的债务人集中度较高；而从债务人企业性质来看，主要以有限责任公司、国有企业和合资企业为主，且大部分有限责任公司是由国有企业改制而来，因此，资产池中企业的背景以国有企业为主；从资产的担保情况来看，</w:t>
      </w:r>
      <w:r w:rsidRPr="00800D22">
        <w:rPr>
          <w:rFonts w:eastAsia="新宋体" w:hint="eastAsia"/>
          <w:szCs w:val="21"/>
        </w:rPr>
        <w:t>87.25%</w:t>
      </w:r>
      <w:r w:rsidRPr="00800D22">
        <w:rPr>
          <w:rFonts w:eastAsia="新宋体" w:hint="eastAsia"/>
          <w:szCs w:val="21"/>
        </w:rPr>
        <w:t>为有担保贷款，担保方式主要为保证担保和抵押担保，各自比重分别为</w:t>
      </w:r>
      <w:r w:rsidRPr="00800D22">
        <w:rPr>
          <w:rFonts w:eastAsia="新宋体" w:hint="eastAsia"/>
          <w:szCs w:val="21"/>
        </w:rPr>
        <w:t>48.75%</w:t>
      </w:r>
      <w:r w:rsidRPr="00800D22">
        <w:rPr>
          <w:rFonts w:eastAsia="新宋体" w:hint="eastAsia"/>
          <w:szCs w:val="21"/>
        </w:rPr>
        <w:t>和</w:t>
      </w:r>
      <w:r w:rsidRPr="00800D22">
        <w:rPr>
          <w:rFonts w:eastAsia="新宋体" w:hint="eastAsia"/>
          <w:szCs w:val="21"/>
        </w:rPr>
        <w:t>38.50%</w:t>
      </w:r>
      <w:r w:rsidRPr="00800D22">
        <w:rPr>
          <w:rFonts w:eastAsia="新宋体" w:hint="eastAsia"/>
          <w:szCs w:val="21"/>
        </w:rPr>
        <w:t>，较高的抵押担保比重有利于贷款的回收。</w:t>
      </w:r>
    </w:p>
    <w:p w14:paraId="432A5499" w14:textId="77777777" w:rsidR="000E3BCC" w:rsidRPr="00800D22" w:rsidRDefault="000E3BCC" w:rsidP="000E3BCC">
      <w:pPr>
        <w:widowControl/>
        <w:spacing w:line="440" w:lineRule="exact"/>
        <w:ind w:firstLine="480"/>
        <w:rPr>
          <w:rFonts w:eastAsia="新宋体" w:hint="eastAsia"/>
          <w:szCs w:val="21"/>
        </w:rPr>
      </w:pPr>
      <w:r w:rsidRPr="00800D22">
        <w:rPr>
          <w:rFonts w:eastAsia="新宋体"/>
          <w:szCs w:val="21"/>
        </w:rPr>
        <w:t>证券</w:t>
      </w:r>
      <w:r w:rsidRPr="00800D22">
        <w:rPr>
          <w:rFonts w:eastAsia="新宋体" w:hint="eastAsia"/>
          <w:szCs w:val="21"/>
        </w:rPr>
        <w:t>主要通过设定优先</w:t>
      </w:r>
      <w:r w:rsidRPr="00800D22">
        <w:rPr>
          <w:rFonts w:eastAsia="新宋体" w:hint="eastAsia"/>
          <w:szCs w:val="21"/>
        </w:rPr>
        <w:t>/</w:t>
      </w:r>
      <w:r w:rsidRPr="00800D22">
        <w:rPr>
          <w:rFonts w:eastAsia="新宋体" w:hint="eastAsia"/>
          <w:szCs w:val="21"/>
        </w:rPr>
        <w:t>次级结构、设立信托准备金账户以及服务商提供的流动性支持来实现增信：</w:t>
      </w:r>
    </w:p>
    <w:p w14:paraId="49FC4520" w14:textId="77777777" w:rsidR="000E3BCC" w:rsidRPr="00800D22" w:rsidRDefault="000E3BCC" w:rsidP="000E3BCC">
      <w:pPr>
        <w:widowControl/>
        <w:spacing w:line="430" w:lineRule="exact"/>
        <w:ind w:firstLine="482"/>
        <w:rPr>
          <w:rFonts w:eastAsia="新宋体" w:hint="eastAsia"/>
          <w:szCs w:val="21"/>
        </w:rPr>
      </w:pPr>
      <w:r w:rsidRPr="00800D22">
        <w:rPr>
          <w:rFonts w:eastAsia="新宋体" w:hint="eastAsia"/>
          <w:szCs w:val="21"/>
        </w:rPr>
        <w:t>（</w:t>
      </w:r>
      <w:r w:rsidRPr="00800D22">
        <w:rPr>
          <w:rFonts w:eastAsia="新宋体" w:hint="eastAsia"/>
          <w:szCs w:val="21"/>
        </w:rPr>
        <w:t>1</w:t>
      </w:r>
      <w:r w:rsidRPr="00800D22">
        <w:rPr>
          <w:rFonts w:eastAsia="新宋体" w:hint="eastAsia"/>
          <w:szCs w:val="21"/>
        </w:rPr>
        <w:t>）优先</w:t>
      </w:r>
      <w:r w:rsidRPr="00800D22">
        <w:rPr>
          <w:rFonts w:eastAsia="新宋体" w:hint="eastAsia"/>
          <w:szCs w:val="21"/>
        </w:rPr>
        <w:t>/</w:t>
      </w:r>
      <w:r w:rsidRPr="00800D22">
        <w:rPr>
          <w:rFonts w:eastAsia="新宋体" w:hint="eastAsia"/>
          <w:szCs w:val="21"/>
        </w:rPr>
        <w:t>次级结构设计</w:t>
      </w:r>
    </w:p>
    <w:p w14:paraId="6DF4CAC4" w14:textId="77777777" w:rsidR="000E3BCC" w:rsidRPr="00800D22" w:rsidRDefault="000E3BCC" w:rsidP="000E3BCC">
      <w:pPr>
        <w:widowControl/>
        <w:spacing w:line="430" w:lineRule="exact"/>
        <w:ind w:firstLine="482"/>
        <w:rPr>
          <w:rFonts w:eastAsia="新宋体" w:hint="eastAsia"/>
          <w:szCs w:val="21"/>
        </w:rPr>
      </w:pPr>
      <w:r w:rsidRPr="00800D22">
        <w:rPr>
          <w:rFonts w:eastAsia="新宋体" w:hint="eastAsia"/>
          <w:szCs w:val="21"/>
        </w:rPr>
        <w:t>该期资产支持证券划分为优先级重整资产支持证券和次级重整资产支持证券，相应代表该信托项下的优先级信托受益权和次级信托受益权</w:t>
      </w:r>
      <w:r w:rsidRPr="00800D22">
        <w:rPr>
          <w:rFonts w:eastAsia="新宋体"/>
          <w:szCs w:val="21"/>
        </w:rPr>
        <w:t>，</w:t>
      </w:r>
      <w:r w:rsidRPr="00800D22">
        <w:rPr>
          <w:rFonts w:eastAsia="新宋体" w:hint="eastAsia"/>
          <w:szCs w:val="21"/>
        </w:rPr>
        <w:t>其中，优先级重整资产支持证券本金</w:t>
      </w:r>
      <w:r w:rsidRPr="00800D22">
        <w:rPr>
          <w:rFonts w:eastAsia="新宋体" w:hint="eastAsia"/>
          <w:szCs w:val="21"/>
        </w:rPr>
        <w:t>7</w:t>
      </w:r>
      <w:r w:rsidRPr="00800D22">
        <w:rPr>
          <w:rFonts w:eastAsia="新宋体" w:hint="eastAsia"/>
          <w:szCs w:val="21"/>
        </w:rPr>
        <w:t>亿元，票面期限为</w:t>
      </w:r>
      <w:r w:rsidRPr="00800D22">
        <w:rPr>
          <w:rFonts w:eastAsia="新宋体" w:hint="eastAsia"/>
          <w:szCs w:val="21"/>
        </w:rPr>
        <w:t>3</w:t>
      </w:r>
      <w:r w:rsidRPr="00800D22">
        <w:rPr>
          <w:rFonts w:eastAsia="新宋体" w:hint="eastAsia"/>
          <w:szCs w:val="21"/>
        </w:rPr>
        <w:t>年；次级重整资产支持证券本金</w:t>
      </w:r>
      <w:r w:rsidRPr="00800D22">
        <w:rPr>
          <w:rFonts w:eastAsia="新宋体" w:hint="eastAsia"/>
          <w:szCs w:val="21"/>
        </w:rPr>
        <w:t>3.5</w:t>
      </w:r>
      <w:r w:rsidRPr="00800D22">
        <w:rPr>
          <w:rFonts w:eastAsia="新宋体" w:hint="eastAsia"/>
          <w:szCs w:val="21"/>
        </w:rPr>
        <w:t>亿元，票面期限为</w:t>
      </w:r>
      <w:r w:rsidRPr="00800D22">
        <w:rPr>
          <w:rFonts w:eastAsia="新宋体" w:hint="eastAsia"/>
          <w:szCs w:val="21"/>
        </w:rPr>
        <w:t>5</w:t>
      </w:r>
      <w:r w:rsidRPr="00800D22">
        <w:rPr>
          <w:rFonts w:eastAsia="新宋体" w:hint="eastAsia"/>
          <w:szCs w:val="21"/>
        </w:rPr>
        <w:t>年。</w:t>
      </w:r>
      <w:r w:rsidRPr="00800D22">
        <w:rPr>
          <w:rFonts w:eastAsia="新宋体" w:hint="eastAsia"/>
          <w:szCs w:val="21"/>
        </w:rPr>
        <w:t xml:space="preserve"> </w:t>
      </w:r>
    </w:p>
    <w:p w14:paraId="6313C1DA" w14:textId="77777777" w:rsidR="000E3BCC" w:rsidRPr="00800D22" w:rsidRDefault="000E3BCC" w:rsidP="000E3BCC">
      <w:pPr>
        <w:widowControl/>
        <w:spacing w:line="430" w:lineRule="exact"/>
        <w:ind w:firstLine="482"/>
        <w:rPr>
          <w:rFonts w:hint="eastAsia"/>
          <w:szCs w:val="21"/>
        </w:rPr>
      </w:pPr>
      <w:r w:rsidRPr="00800D22">
        <w:rPr>
          <w:rFonts w:hint="eastAsia"/>
          <w:szCs w:val="21"/>
        </w:rPr>
        <w:t>（</w:t>
      </w:r>
      <w:r w:rsidRPr="00800D22">
        <w:rPr>
          <w:rFonts w:hint="eastAsia"/>
          <w:szCs w:val="21"/>
        </w:rPr>
        <w:t>2</w:t>
      </w:r>
      <w:r w:rsidRPr="00800D22">
        <w:rPr>
          <w:rFonts w:hint="eastAsia"/>
          <w:szCs w:val="21"/>
        </w:rPr>
        <w:t>）信托准备金账户</w:t>
      </w:r>
    </w:p>
    <w:p w14:paraId="0800C3C1" w14:textId="77777777" w:rsidR="000E3BCC" w:rsidRPr="00800D22" w:rsidRDefault="000E3BCC" w:rsidP="000E3BCC">
      <w:pPr>
        <w:widowControl/>
        <w:spacing w:line="430" w:lineRule="exact"/>
        <w:ind w:firstLine="482"/>
        <w:rPr>
          <w:rFonts w:hint="eastAsia"/>
          <w:szCs w:val="21"/>
        </w:rPr>
      </w:pPr>
      <w:r w:rsidRPr="00800D22">
        <w:rPr>
          <w:rFonts w:hint="eastAsia"/>
          <w:szCs w:val="21"/>
        </w:rPr>
        <w:t>该期资产证券化产品设置了储备金账户、流动性准备金账户以及费用报酬准备金账户，并对各账户资金来源和资金用途作了详细规定。</w:t>
      </w:r>
    </w:p>
    <w:p w14:paraId="20628ABF" w14:textId="77777777" w:rsidR="000E3BCC" w:rsidRPr="00800D22" w:rsidRDefault="000E3BCC" w:rsidP="000E3BCC">
      <w:pPr>
        <w:widowControl/>
        <w:spacing w:line="430" w:lineRule="exact"/>
        <w:ind w:firstLine="482"/>
        <w:rPr>
          <w:rFonts w:hint="eastAsia"/>
          <w:szCs w:val="21"/>
        </w:rPr>
      </w:pPr>
      <w:r w:rsidRPr="00800D22">
        <w:rPr>
          <w:rFonts w:hint="eastAsia"/>
          <w:szCs w:val="21"/>
        </w:rPr>
        <w:t>（</w:t>
      </w:r>
      <w:r w:rsidRPr="00800D22">
        <w:rPr>
          <w:rFonts w:hint="eastAsia"/>
          <w:szCs w:val="21"/>
        </w:rPr>
        <w:t>3</w:t>
      </w:r>
      <w:r w:rsidRPr="00800D22">
        <w:rPr>
          <w:rFonts w:hint="eastAsia"/>
          <w:szCs w:val="21"/>
        </w:rPr>
        <w:t>）流动性支持</w:t>
      </w:r>
    </w:p>
    <w:p w14:paraId="7F718DBC" w14:textId="77777777" w:rsidR="000E3BCC" w:rsidRPr="00800D22" w:rsidRDefault="000E3BCC" w:rsidP="000E3BCC">
      <w:pPr>
        <w:widowControl/>
        <w:spacing w:line="430" w:lineRule="exact"/>
        <w:ind w:firstLine="482"/>
        <w:rPr>
          <w:rFonts w:hint="eastAsia"/>
          <w:szCs w:val="21"/>
        </w:rPr>
      </w:pPr>
      <w:r w:rsidRPr="00800D22">
        <w:rPr>
          <w:rFonts w:hint="eastAsia"/>
          <w:szCs w:val="21"/>
        </w:rPr>
        <w:t>在《资产管理服务合同》中受托人和服务商约定，服务商对优先级重整资产支持证券本息偿付提供流动性支持，并且新服务商正式履行服务商服务之前，原服务商仍履行原合同项下的所有义务。</w:t>
      </w:r>
    </w:p>
    <w:p w14:paraId="42576905" w14:textId="77777777" w:rsidR="000E3BCC" w:rsidRPr="00800D22" w:rsidRDefault="000E3BCC" w:rsidP="000E3BCC">
      <w:pPr>
        <w:widowControl/>
        <w:spacing w:line="440" w:lineRule="exact"/>
        <w:ind w:firstLine="480"/>
        <w:rPr>
          <w:rFonts w:eastAsia="新宋体" w:hint="eastAsia"/>
          <w:szCs w:val="21"/>
        </w:rPr>
      </w:pPr>
      <w:r w:rsidRPr="00800D22">
        <w:rPr>
          <w:rFonts w:hint="eastAsia"/>
          <w:szCs w:val="21"/>
        </w:rPr>
        <w:t>综合来看，</w:t>
      </w:r>
      <w:r w:rsidRPr="00800D22">
        <w:rPr>
          <w:rFonts w:eastAsia="新宋体"/>
          <w:szCs w:val="21"/>
        </w:rPr>
        <w:t>东元</w:t>
      </w:r>
      <w:r w:rsidRPr="00800D22">
        <w:rPr>
          <w:rFonts w:eastAsia="新宋体"/>
          <w:szCs w:val="21"/>
        </w:rPr>
        <w:t>2006-1</w:t>
      </w:r>
      <w:r w:rsidRPr="00800D22">
        <w:rPr>
          <w:rFonts w:eastAsia="新宋体" w:hint="eastAsia"/>
          <w:szCs w:val="21"/>
        </w:rPr>
        <w:t>优先级</w:t>
      </w:r>
      <w:r w:rsidRPr="00800D22">
        <w:rPr>
          <w:rFonts w:eastAsia="新宋体"/>
          <w:szCs w:val="21"/>
        </w:rPr>
        <w:t>重整资产支持证券</w:t>
      </w:r>
      <w:r w:rsidRPr="00800D22">
        <w:rPr>
          <w:rFonts w:eastAsia="新宋体" w:hint="eastAsia"/>
          <w:szCs w:val="21"/>
        </w:rPr>
        <w:t>通过证券分层的结构安排，降低了优先级重整资产支持证券的风险，加强了服务商回收压力和动力，次级重整资产支持证券对优先级重整资产支持证券提供信用支持，具有一定的内部增信作用；同时，通过设立信托准备金账户，</w:t>
      </w:r>
      <w:r w:rsidRPr="00800D22">
        <w:rPr>
          <w:rFonts w:hint="eastAsia"/>
          <w:szCs w:val="21"/>
        </w:rPr>
        <w:t>在回收现金不足分配时使用，以最大程度保证优先级重整资产支持证券本息偿付；此外，</w:t>
      </w:r>
      <w:r w:rsidRPr="00800D22">
        <w:rPr>
          <w:rFonts w:eastAsia="新宋体" w:hint="eastAsia"/>
          <w:szCs w:val="21"/>
        </w:rPr>
        <w:t>服务商提供</w:t>
      </w:r>
      <w:r w:rsidRPr="00800D22">
        <w:rPr>
          <w:rFonts w:hint="eastAsia"/>
          <w:szCs w:val="21"/>
        </w:rPr>
        <w:t>流动性支持确保了优先级重整资产支持证券的本息偿付，对优先级重整资产支持证券具有很强的增信作用。通过内外部多种增信方式的组合使用，该资产证券化产品实现了有效增信，</w:t>
      </w:r>
      <w:r w:rsidRPr="00800D22">
        <w:rPr>
          <w:rFonts w:eastAsia="新宋体"/>
          <w:szCs w:val="21"/>
        </w:rPr>
        <w:t>大公国际资信评估有限公司对东元</w:t>
      </w:r>
      <w:r w:rsidRPr="00800D22">
        <w:rPr>
          <w:rFonts w:eastAsia="新宋体"/>
          <w:szCs w:val="21"/>
        </w:rPr>
        <w:t>2006-1</w:t>
      </w:r>
      <w:r w:rsidRPr="00800D22">
        <w:rPr>
          <w:rFonts w:eastAsia="新宋体" w:hint="eastAsia"/>
          <w:szCs w:val="21"/>
        </w:rPr>
        <w:t>优先级</w:t>
      </w:r>
      <w:r w:rsidRPr="00800D22">
        <w:rPr>
          <w:rFonts w:eastAsia="新宋体"/>
          <w:szCs w:val="21"/>
        </w:rPr>
        <w:t>重整资产支持证券</w:t>
      </w:r>
      <w:r w:rsidRPr="00800D22">
        <w:rPr>
          <w:rFonts w:eastAsia="新宋体" w:hint="eastAsia"/>
          <w:szCs w:val="21"/>
        </w:rPr>
        <w:t>信用</w:t>
      </w:r>
      <w:r w:rsidRPr="00800D22">
        <w:rPr>
          <w:rFonts w:eastAsia="新宋体"/>
          <w:szCs w:val="21"/>
        </w:rPr>
        <w:t>评级为</w:t>
      </w:r>
      <w:r w:rsidRPr="00800D22">
        <w:rPr>
          <w:rFonts w:eastAsia="新宋体"/>
          <w:szCs w:val="21"/>
        </w:rPr>
        <w:t>AAA</w:t>
      </w:r>
      <w:r w:rsidRPr="00800D22">
        <w:rPr>
          <w:rFonts w:eastAsia="新宋体"/>
          <w:szCs w:val="21"/>
        </w:rPr>
        <w:t>。</w:t>
      </w:r>
    </w:p>
    <w:p w14:paraId="7A7FB179" w14:textId="4D2125F1" w:rsidR="000E3BCC" w:rsidRPr="000E3BCC" w:rsidRDefault="000E3BCC" w:rsidP="000E3BCC">
      <w:pPr>
        <w:widowControl/>
        <w:spacing w:line="440" w:lineRule="exact"/>
        <w:ind w:firstLine="480"/>
        <w:rPr>
          <w:rFonts w:hint="eastAsia"/>
        </w:rPr>
      </w:pPr>
      <w:r w:rsidRPr="00800D22">
        <w:rPr>
          <w:rFonts w:eastAsia="新宋体" w:hint="eastAsia"/>
          <w:szCs w:val="21"/>
        </w:rPr>
        <w:t>从本案例及案例</w:t>
      </w:r>
      <w:r w:rsidRPr="00800D22">
        <w:rPr>
          <w:rFonts w:eastAsia="新宋体" w:hint="eastAsia"/>
          <w:szCs w:val="21"/>
        </w:rPr>
        <w:t>11.1</w:t>
      </w:r>
      <w:r w:rsidRPr="00800D22">
        <w:rPr>
          <w:rFonts w:eastAsia="新宋体" w:hint="eastAsia"/>
          <w:szCs w:val="21"/>
        </w:rPr>
        <w:t>、案例</w:t>
      </w:r>
      <w:r w:rsidRPr="00800D22">
        <w:rPr>
          <w:rFonts w:eastAsia="新宋体" w:hint="eastAsia"/>
          <w:szCs w:val="21"/>
        </w:rPr>
        <w:t>11.2</w:t>
      </w:r>
      <w:r w:rsidRPr="00800D22">
        <w:rPr>
          <w:rFonts w:eastAsia="新宋体" w:hint="eastAsia"/>
          <w:szCs w:val="21"/>
        </w:rPr>
        <w:t>可以看出，我国不良信贷资产证券化增信尚存在着增信方式单一问题，从这几个案例中都可以看到，主要以内部增信为主，真正意义上的如担保和保险等外部增信方式缺乏，</w:t>
      </w:r>
      <w:r w:rsidRPr="00800D22">
        <w:rPr>
          <w:rFonts w:eastAsia="新宋体"/>
          <w:szCs w:val="21"/>
        </w:rPr>
        <w:t>没有真正实现分散不良资产风险的目的</w:t>
      </w:r>
      <w:r w:rsidRPr="00800D22">
        <w:rPr>
          <w:rFonts w:eastAsia="新宋体" w:hint="eastAsia"/>
          <w:szCs w:val="21"/>
        </w:rPr>
        <w:t>。</w:t>
      </w:r>
    </w:p>
    <w:sectPr w:rsidR="000E3BCC" w:rsidRPr="000E3BCC"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8489" w14:textId="77777777" w:rsidR="00EC7F3A" w:rsidRDefault="00EC7F3A" w:rsidP="000E3BCC">
      <w:r>
        <w:separator/>
      </w:r>
    </w:p>
  </w:endnote>
  <w:endnote w:type="continuationSeparator" w:id="0">
    <w:p w14:paraId="54AAD527" w14:textId="77777777" w:rsidR="00EC7F3A" w:rsidRDefault="00EC7F3A" w:rsidP="000E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84A8" w14:textId="77777777" w:rsidR="00EC7F3A" w:rsidRDefault="00EC7F3A" w:rsidP="000E3BCC">
      <w:r>
        <w:separator/>
      </w:r>
    </w:p>
  </w:footnote>
  <w:footnote w:type="continuationSeparator" w:id="0">
    <w:p w14:paraId="23D3C501" w14:textId="77777777" w:rsidR="00EC7F3A" w:rsidRDefault="00EC7F3A" w:rsidP="000E3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B021F"/>
    <w:rsid w:val="000E3BCC"/>
    <w:rsid w:val="00C7398C"/>
    <w:rsid w:val="00EC7F3A"/>
    <w:rsid w:val="00F900CB"/>
    <w:rsid w:val="00FB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70"/>
    <o:shapelayout v:ext="edit">
      <o:idmap v:ext="edit" data="2"/>
    </o:shapelayout>
  </w:shapeDefaults>
  <w:decimalSymbol w:val="."/>
  <w:listSeparator w:val=","/>
  <w14:docId w14:val="1A705680"/>
  <w15:chartTrackingRefBased/>
  <w15:docId w15:val="{5DA890A0-B1C2-4F0E-B8F5-35C837D1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21F"/>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FB021F"/>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FB021F"/>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FB021F"/>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FB021F"/>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FB021F"/>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FB021F"/>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FB021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21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B021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21F"/>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FB021F"/>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FB021F"/>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FB021F"/>
    <w:rPr>
      <w:rFonts w:cstheme="majorBidi"/>
      <w:color w:val="365F91" w:themeColor="accent1" w:themeShade="BF"/>
      <w:sz w:val="28"/>
      <w:szCs w:val="28"/>
    </w:rPr>
  </w:style>
  <w:style w:type="character" w:customStyle="1" w:styleId="50">
    <w:name w:val="标题 5 字符"/>
    <w:basedOn w:val="a0"/>
    <w:link w:val="5"/>
    <w:uiPriority w:val="9"/>
    <w:semiHidden/>
    <w:rsid w:val="00FB021F"/>
    <w:rPr>
      <w:rFonts w:cstheme="majorBidi"/>
      <w:color w:val="365F91" w:themeColor="accent1" w:themeShade="BF"/>
      <w:sz w:val="24"/>
      <w:szCs w:val="24"/>
    </w:rPr>
  </w:style>
  <w:style w:type="character" w:customStyle="1" w:styleId="60">
    <w:name w:val="标题 6 字符"/>
    <w:basedOn w:val="a0"/>
    <w:link w:val="6"/>
    <w:uiPriority w:val="9"/>
    <w:semiHidden/>
    <w:rsid w:val="00FB021F"/>
    <w:rPr>
      <w:rFonts w:cstheme="majorBidi"/>
      <w:b/>
      <w:bCs/>
      <w:color w:val="365F91" w:themeColor="accent1" w:themeShade="BF"/>
    </w:rPr>
  </w:style>
  <w:style w:type="character" w:customStyle="1" w:styleId="70">
    <w:name w:val="标题 7 字符"/>
    <w:basedOn w:val="a0"/>
    <w:link w:val="7"/>
    <w:uiPriority w:val="9"/>
    <w:semiHidden/>
    <w:rsid w:val="00FB021F"/>
    <w:rPr>
      <w:rFonts w:cstheme="majorBidi"/>
      <w:b/>
      <w:bCs/>
      <w:color w:val="595959" w:themeColor="text1" w:themeTint="A6"/>
    </w:rPr>
  </w:style>
  <w:style w:type="character" w:customStyle="1" w:styleId="80">
    <w:name w:val="标题 8 字符"/>
    <w:basedOn w:val="a0"/>
    <w:link w:val="8"/>
    <w:uiPriority w:val="9"/>
    <w:semiHidden/>
    <w:rsid w:val="00FB021F"/>
    <w:rPr>
      <w:rFonts w:cstheme="majorBidi"/>
      <w:color w:val="595959" w:themeColor="text1" w:themeTint="A6"/>
    </w:rPr>
  </w:style>
  <w:style w:type="character" w:customStyle="1" w:styleId="90">
    <w:name w:val="标题 9 字符"/>
    <w:basedOn w:val="a0"/>
    <w:link w:val="9"/>
    <w:uiPriority w:val="9"/>
    <w:semiHidden/>
    <w:rsid w:val="00FB021F"/>
    <w:rPr>
      <w:rFonts w:eastAsiaTheme="majorEastAsia" w:cstheme="majorBidi"/>
      <w:color w:val="595959" w:themeColor="text1" w:themeTint="A6"/>
    </w:rPr>
  </w:style>
  <w:style w:type="paragraph" w:styleId="a3">
    <w:name w:val="Title"/>
    <w:basedOn w:val="a"/>
    <w:next w:val="a"/>
    <w:link w:val="a4"/>
    <w:uiPriority w:val="10"/>
    <w:qFormat/>
    <w:rsid w:val="00FB02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2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2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21F"/>
    <w:pPr>
      <w:spacing w:before="160" w:after="160"/>
      <w:jc w:val="center"/>
    </w:pPr>
    <w:rPr>
      <w:i/>
      <w:iCs/>
      <w:color w:val="404040" w:themeColor="text1" w:themeTint="BF"/>
    </w:rPr>
  </w:style>
  <w:style w:type="character" w:customStyle="1" w:styleId="a8">
    <w:name w:val="引用 字符"/>
    <w:basedOn w:val="a0"/>
    <w:link w:val="a7"/>
    <w:uiPriority w:val="29"/>
    <w:rsid w:val="00FB021F"/>
    <w:rPr>
      <w:i/>
      <w:iCs/>
      <w:color w:val="404040" w:themeColor="text1" w:themeTint="BF"/>
    </w:rPr>
  </w:style>
  <w:style w:type="paragraph" w:styleId="a9">
    <w:name w:val="List Paragraph"/>
    <w:basedOn w:val="a"/>
    <w:uiPriority w:val="34"/>
    <w:qFormat/>
    <w:rsid w:val="00FB021F"/>
    <w:pPr>
      <w:ind w:left="720"/>
      <w:contextualSpacing/>
    </w:pPr>
  </w:style>
  <w:style w:type="character" w:styleId="aa">
    <w:name w:val="Intense Emphasis"/>
    <w:basedOn w:val="a0"/>
    <w:uiPriority w:val="21"/>
    <w:qFormat/>
    <w:rsid w:val="00FB021F"/>
    <w:rPr>
      <w:i/>
      <w:iCs/>
      <w:color w:val="365F91" w:themeColor="accent1" w:themeShade="BF"/>
    </w:rPr>
  </w:style>
  <w:style w:type="paragraph" w:styleId="ab">
    <w:name w:val="Intense Quote"/>
    <w:basedOn w:val="a"/>
    <w:next w:val="a"/>
    <w:link w:val="ac"/>
    <w:uiPriority w:val="30"/>
    <w:qFormat/>
    <w:rsid w:val="00FB02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FB021F"/>
    <w:rPr>
      <w:i/>
      <w:iCs/>
      <w:color w:val="365F91" w:themeColor="accent1" w:themeShade="BF"/>
    </w:rPr>
  </w:style>
  <w:style w:type="character" w:styleId="ad">
    <w:name w:val="Intense Reference"/>
    <w:basedOn w:val="a0"/>
    <w:uiPriority w:val="32"/>
    <w:qFormat/>
    <w:rsid w:val="00FB021F"/>
    <w:rPr>
      <w:b/>
      <w:bCs/>
      <w:smallCaps/>
      <w:color w:val="365F91" w:themeColor="accent1" w:themeShade="BF"/>
      <w:spacing w:val="5"/>
    </w:rPr>
  </w:style>
  <w:style w:type="paragraph" w:customStyle="1" w:styleId="41">
    <w:name w:val="标题4"/>
    <w:basedOn w:val="ae"/>
    <w:rsid w:val="00FB021F"/>
    <w:pPr>
      <w:widowControl/>
      <w:spacing w:line="360" w:lineRule="auto"/>
    </w:pPr>
    <w:rPr>
      <w:rFonts w:hAnsi="宋体"/>
      <w:b/>
      <w:kern w:val="0"/>
      <w:sz w:val="21"/>
      <w:szCs w:val="21"/>
    </w:rPr>
  </w:style>
  <w:style w:type="paragraph" w:styleId="af">
    <w:name w:val="caption"/>
    <w:basedOn w:val="a"/>
    <w:next w:val="a"/>
    <w:qFormat/>
    <w:rsid w:val="00FB021F"/>
    <w:rPr>
      <w:rFonts w:ascii="Arial" w:eastAsia="黑体" w:hAnsi="Arial" w:cs="Arial"/>
      <w:sz w:val="20"/>
      <w:szCs w:val="20"/>
    </w:rPr>
  </w:style>
  <w:style w:type="paragraph" w:styleId="ae">
    <w:name w:val="Normal (Web)"/>
    <w:basedOn w:val="a"/>
    <w:uiPriority w:val="99"/>
    <w:semiHidden/>
    <w:unhideWhenUsed/>
    <w:rsid w:val="00FB021F"/>
    <w:rPr>
      <w:sz w:val="24"/>
    </w:rPr>
  </w:style>
  <w:style w:type="paragraph" w:styleId="af0">
    <w:name w:val="header"/>
    <w:basedOn w:val="a"/>
    <w:link w:val="af1"/>
    <w:uiPriority w:val="99"/>
    <w:unhideWhenUsed/>
    <w:rsid w:val="000E3BCC"/>
    <w:pPr>
      <w:tabs>
        <w:tab w:val="center" w:pos="4153"/>
        <w:tab w:val="right" w:pos="8306"/>
      </w:tabs>
      <w:snapToGrid w:val="0"/>
      <w:jc w:val="center"/>
    </w:pPr>
    <w:rPr>
      <w:sz w:val="18"/>
      <w:szCs w:val="18"/>
    </w:rPr>
  </w:style>
  <w:style w:type="character" w:customStyle="1" w:styleId="af1">
    <w:name w:val="页眉 字符"/>
    <w:basedOn w:val="a0"/>
    <w:link w:val="af0"/>
    <w:uiPriority w:val="99"/>
    <w:rsid w:val="000E3BCC"/>
    <w:rPr>
      <w:rFonts w:ascii="Times New Roman" w:eastAsia="宋体" w:hAnsi="Times New Roman" w:cs="Times New Roman"/>
      <w:sz w:val="18"/>
      <w:szCs w:val="18"/>
    </w:rPr>
  </w:style>
  <w:style w:type="paragraph" w:styleId="af2">
    <w:name w:val="footer"/>
    <w:basedOn w:val="a"/>
    <w:link w:val="af3"/>
    <w:uiPriority w:val="99"/>
    <w:unhideWhenUsed/>
    <w:rsid w:val="000E3BCC"/>
    <w:pPr>
      <w:tabs>
        <w:tab w:val="center" w:pos="4153"/>
        <w:tab w:val="right" w:pos="8306"/>
      </w:tabs>
      <w:snapToGrid w:val="0"/>
      <w:jc w:val="left"/>
    </w:pPr>
    <w:rPr>
      <w:sz w:val="18"/>
      <w:szCs w:val="18"/>
    </w:rPr>
  </w:style>
  <w:style w:type="character" w:customStyle="1" w:styleId="af3">
    <w:name w:val="页脚 字符"/>
    <w:basedOn w:val="a0"/>
    <w:link w:val="af2"/>
    <w:uiPriority w:val="99"/>
    <w:rsid w:val="000E3BC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2025-10-21T09:26:00Z</dcterms:created>
  <dcterms:modified xsi:type="dcterms:W3CDTF">2025-10-21T09:33:00Z</dcterms:modified>
</cp:coreProperties>
</file>