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89960" w14:textId="21146085" w:rsidR="00307F5A" w:rsidRPr="00800D22" w:rsidRDefault="00307F5A" w:rsidP="00307F5A">
      <w:pPr>
        <w:spacing w:line="440" w:lineRule="exact"/>
        <w:jc w:val="center"/>
        <w:outlineLvl w:val="1"/>
        <w:rPr>
          <w:rFonts w:ascii="黑体" w:eastAsia="黑体" w:hAnsi="宋体"/>
          <w:sz w:val="30"/>
          <w:szCs w:val="30"/>
        </w:rPr>
      </w:pPr>
      <w:bookmarkStart w:id="0" w:name="_Toc256506370"/>
      <w:r w:rsidRPr="00800D22">
        <w:rPr>
          <w:rFonts w:ascii="黑体" w:eastAsia="黑体" w:hAnsi="宋体" w:hint="eastAsia"/>
          <w:sz w:val="30"/>
          <w:szCs w:val="30"/>
        </w:rPr>
        <w:t>保险公司债券投资信用级别限制对债券市场流动性的影响</w:t>
      </w:r>
      <w:bookmarkEnd w:id="0"/>
    </w:p>
    <w:p w14:paraId="1F90BE89" w14:textId="77777777" w:rsidR="00307F5A" w:rsidRPr="00800D22" w:rsidRDefault="00307F5A" w:rsidP="00307F5A">
      <w:pPr>
        <w:spacing w:beforeLines="100" w:before="312" w:afterLines="100" w:after="312" w:line="440" w:lineRule="exact"/>
        <w:jc w:val="center"/>
        <w:rPr>
          <w:b/>
          <w:sz w:val="24"/>
        </w:rPr>
      </w:pPr>
      <w:r w:rsidRPr="00800D22">
        <w:rPr>
          <w:rFonts w:hint="eastAsia"/>
          <w:b/>
          <w:sz w:val="24"/>
        </w:rPr>
        <w:t>引言</w:t>
      </w:r>
    </w:p>
    <w:p w14:paraId="0EEA4C43" w14:textId="77777777" w:rsidR="00307F5A" w:rsidRPr="00800D22" w:rsidRDefault="00307F5A" w:rsidP="00307F5A">
      <w:pPr>
        <w:adjustRightInd w:val="0"/>
        <w:snapToGrid w:val="0"/>
        <w:spacing w:line="440" w:lineRule="exact"/>
        <w:ind w:firstLine="420"/>
        <w:rPr>
          <w:szCs w:val="21"/>
        </w:rPr>
      </w:pPr>
      <w:r w:rsidRPr="00800D22">
        <w:rPr>
          <w:kern w:val="0"/>
          <w:szCs w:val="21"/>
          <w:lang w:eastAsia="zh-Hans"/>
        </w:rPr>
        <w:t>债券投资是保险公司</w:t>
      </w:r>
      <w:r w:rsidRPr="00800D22">
        <w:rPr>
          <w:kern w:val="0"/>
          <w:szCs w:val="21"/>
        </w:rPr>
        <w:t>分散投资、提高投资安全性的</w:t>
      </w:r>
      <w:r w:rsidRPr="00800D22">
        <w:rPr>
          <w:rFonts w:hint="eastAsia"/>
          <w:kern w:val="0"/>
          <w:szCs w:val="21"/>
        </w:rPr>
        <w:t>重要</w:t>
      </w:r>
      <w:r w:rsidRPr="00800D22">
        <w:rPr>
          <w:kern w:val="0"/>
          <w:szCs w:val="21"/>
        </w:rPr>
        <w:t>手段</w:t>
      </w:r>
      <w:r w:rsidRPr="00800D22">
        <w:rPr>
          <w:rFonts w:hint="eastAsia"/>
          <w:kern w:val="0"/>
          <w:szCs w:val="21"/>
        </w:rPr>
        <w:t>。</w:t>
      </w:r>
      <w:r w:rsidRPr="00800D22">
        <w:rPr>
          <w:kern w:val="0"/>
          <w:szCs w:val="21"/>
        </w:rPr>
        <w:t>在目前</w:t>
      </w:r>
      <w:r w:rsidRPr="00800D22">
        <w:rPr>
          <w:rFonts w:hint="eastAsia"/>
          <w:kern w:val="0"/>
          <w:szCs w:val="21"/>
        </w:rPr>
        <w:t>国内</w:t>
      </w:r>
      <w:r w:rsidRPr="00800D22">
        <w:rPr>
          <w:kern w:val="0"/>
          <w:szCs w:val="21"/>
        </w:rPr>
        <w:t>经济尚处于</w:t>
      </w:r>
      <w:r w:rsidRPr="00800D22">
        <w:rPr>
          <w:rFonts w:hint="eastAsia"/>
          <w:kern w:val="0"/>
          <w:szCs w:val="21"/>
        </w:rPr>
        <w:t>恢复</w:t>
      </w:r>
      <w:r w:rsidRPr="00800D22">
        <w:rPr>
          <w:kern w:val="0"/>
          <w:szCs w:val="21"/>
        </w:rPr>
        <w:t>阶段、股市波动较大的背景下，</w:t>
      </w:r>
      <w:r w:rsidRPr="00800D22">
        <w:rPr>
          <w:szCs w:val="21"/>
        </w:rPr>
        <w:t>以债券为主的固定收益类投资可以说是保险资金的主要避风港。</w:t>
      </w:r>
      <w:r w:rsidRPr="00800D22">
        <w:rPr>
          <w:rFonts w:hint="eastAsia"/>
          <w:szCs w:val="21"/>
        </w:rPr>
        <w:t>从</w:t>
      </w:r>
      <w:r w:rsidRPr="00800D22">
        <w:rPr>
          <w:rFonts w:hint="eastAsia"/>
          <w:szCs w:val="21"/>
        </w:rPr>
        <w:t>2008</w:t>
      </w:r>
      <w:r w:rsidRPr="00800D22">
        <w:rPr>
          <w:rFonts w:hint="eastAsia"/>
          <w:szCs w:val="21"/>
        </w:rPr>
        <w:t>年</w:t>
      </w:r>
      <w:r w:rsidRPr="00800D22">
        <w:rPr>
          <w:rFonts w:hint="eastAsia"/>
          <w:szCs w:val="21"/>
        </w:rPr>
        <w:t>6</w:t>
      </w:r>
      <w:r w:rsidRPr="00800D22">
        <w:rPr>
          <w:rFonts w:hint="eastAsia"/>
          <w:szCs w:val="21"/>
        </w:rPr>
        <w:t>月国内保险行业及主要保险公司的资产投资情况上看，保险公司主要进行固定收益类资产特别是债券类资产的投资。</w:t>
      </w:r>
    </w:p>
    <w:p w14:paraId="4D7C6C8C" w14:textId="77777777" w:rsidR="00307F5A" w:rsidRPr="00800D22" w:rsidRDefault="00307F5A" w:rsidP="00307F5A">
      <w:pPr>
        <w:pStyle w:val="ae"/>
        <w:spacing w:beforeLines="100" w:before="312"/>
        <w:jc w:val="center"/>
        <w:rPr>
          <w:rFonts w:ascii="Times New Roman" w:eastAsia="新宋体" w:hAnsi="新宋体" w:cs="Times New Roman"/>
          <w:sz w:val="21"/>
          <w:szCs w:val="21"/>
        </w:rPr>
      </w:pPr>
      <w:bookmarkStart w:id="1" w:name="_Toc256506928"/>
      <w:r w:rsidRPr="00800D22">
        <w:rPr>
          <w:rFonts w:ascii="Times New Roman" w:eastAsia="新宋体" w:hAnsi="新宋体" w:cs="Times New Roman" w:hint="eastAsia"/>
          <w:sz w:val="21"/>
          <w:szCs w:val="21"/>
        </w:rPr>
        <w:t>附表</w:t>
      </w:r>
      <w:r w:rsidRPr="00800D22">
        <w:rPr>
          <w:rFonts w:ascii="Times New Roman" w:eastAsia="新宋体" w:hAnsi="新宋体" w:cs="Times New Roman"/>
          <w:sz w:val="21"/>
          <w:szCs w:val="21"/>
        </w:rPr>
        <w:fldChar w:fldCharType="begin"/>
      </w:r>
      <w:r w:rsidRPr="00800D22">
        <w:rPr>
          <w:rFonts w:ascii="Times New Roman" w:eastAsia="新宋体" w:hAnsi="新宋体" w:cs="Times New Roman"/>
          <w:sz w:val="21"/>
          <w:szCs w:val="21"/>
        </w:rPr>
        <w:instrText xml:space="preserve"> </w:instrText>
      </w:r>
      <w:r w:rsidRPr="00800D22">
        <w:rPr>
          <w:rFonts w:ascii="Times New Roman" w:eastAsia="新宋体" w:hAnsi="新宋体" w:cs="Times New Roman" w:hint="eastAsia"/>
          <w:sz w:val="21"/>
          <w:szCs w:val="21"/>
        </w:rPr>
        <w:instrText xml:space="preserve">SEQ </w:instrText>
      </w:r>
      <w:r w:rsidRPr="00800D22">
        <w:rPr>
          <w:rFonts w:ascii="Times New Roman" w:eastAsia="新宋体" w:hAnsi="新宋体" w:cs="Times New Roman" w:hint="eastAsia"/>
          <w:sz w:val="21"/>
          <w:szCs w:val="21"/>
        </w:rPr>
        <w:instrText>附表</w:instrText>
      </w:r>
      <w:r w:rsidRPr="00800D22">
        <w:rPr>
          <w:rFonts w:ascii="Times New Roman" w:eastAsia="新宋体" w:hAnsi="新宋体" w:cs="Times New Roman" w:hint="eastAsia"/>
          <w:sz w:val="21"/>
          <w:szCs w:val="21"/>
        </w:rPr>
        <w:instrText xml:space="preserve"> \* ARABIC</w:instrText>
      </w:r>
      <w:r w:rsidRPr="00800D22">
        <w:rPr>
          <w:rFonts w:ascii="Times New Roman" w:eastAsia="新宋体" w:hAnsi="新宋体" w:cs="Times New Roman"/>
          <w:sz w:val="21"/>
          <w:szCs w:val="21"/>
        </w:rPr>
        <w:instrText xml:space="preserve"> </w:instrText>
      </w:r>
      <w:r w:rsidRPr="00800D22">
        <w:rPr>
          <w:rFonts w:ascii="Times New Roman" w:eastAsia="新宋体" w:hAnsi="新宋体" w:cs="Times New Roman"/>
          <w:sz w:val="21"/>
          <w:szCs w:val="21"/>
        </w:rPr>
        <w:fldChar w:fldCharType="separate"/>
      </w:r>
      <w:r w:rsidRPr="00800D22">
        <w:rPr>
          <w:rFonts w:ascii="Times New Roman" w:eastAsia="新宋体" w:hAnsi="新宋体" w:cs="Times New Roman"/>
          <w:sz w:val="21"/>
          <w:szCs w:val="21"/>
        </w:rPr>
        <w:t>1</w:t>
      </w:r>
      <w:r w:rsidRPr="00800D22">
        <w:rPr>
          <w:rFonts w:ascii="Times New Roman" w:eastAsia="新宋体" w:hAnsi="新宋体" w:cs="Times New Roman"/>
          <w:sz w:val="21"/>
          <w:szCs w:val="21"/>
        </w:rPr>
        <w:fldChar w:fldCharType="end"/>
      </w:r>
      <w:r w:rsidRPr="00800D22">
        <w:rPr>
          <w:rFonts w:ascii="Times New Roman" w:eastAsia="新宋体" w:hAnsi="新宋体" w:cs="Times New Roman" w:hint="eastAsia"/>
          <w:sz w:val="21"/>
          <w:szCs w:val="21"/>
        </w:rPr>
        <w:t xml:space="preserve">  2008</w:t>
      </w:r>
      <w:r w:rsidRPr="00800D22">
        <w:rPr>
          <w:rFonts w:ascii="Times New Roman" w:eastAsia="新宋体" w:hAnsi="新宋体" w:cs="Times New Roman" w:hint="eastAsia"/>
          <w:sz w:val="21"/>
          <w:szCs w:val="21"/>
        </w:rPr>
        <w:t>年</w:t>
      </w:r>
      <w:r w:rsidRPr="00800D22">
        <w:rPr>
          <w:rFonts w:ascii="Times New Roman" w:eastAsia="新宋体" w:hAnsi="新宋体" w:cs="Times New Roman" w:hint="eastAsia"/>
          <w:sz w:val="21"/>
          <w:szCs w:val="21"/>
        </w:rPr>
        <w:t>6</w:t>
      </w:r>
      <w:r w:rsidRPr="00800D22">
        <w:rPr>
          <w:rFonts w:ascii="Times New Roman" w:eastAsia="新宋体" w:hAnsi="新宋体" w:cs="Times New Roman" w:hint="eastAsia"/>
          <w:sz w:val="21"/>
          <w:szCs w:val="21"/>
        </w:rPr>
        <w:t>月国内主要保险公司和保险行业的资产投资情况</w:t>
      </w:r>
      <w:bookmarkEnd w:id="1"/>
    </w:p>
    <w:p w14:paraId="395D1844" w14:textId="77777777" w:rsidR="00307F5A" w:rsidRPr="00800D22" w:rsidRDefault="00307F5A" w:rsidP="00307F5A">
      <w:pPr>
        <w:jc w:val="center"/>
        <w:rPr>
          <w:szCs w:val="21"/>
        </w:rPr>
      </w:pPr>
      <w:r w:rsidRPr="00800D22">
        <w:rPr>
          <w:rFonts w:hint="eastAsia"/>
          <w:szCs w:val="21"/>
        </w:rPr>
        <w:t>A</w:t>
      </w:r>
      <w:r w:rsidRPr="00800D22">
        <w:rPr>
          <w:szCs w:val="21"/>
        </w:rPr>
        <w:t>ttached table</w:t>
      </w:r>
      <w:r w:rsidRPr="00800D22">
        <w:rPr>
          <w:rFonts w:hint="eastAsia"/>
          <w:szCs w:val="21"/>
        </w:rPr>
        <w:t xml:space="preserve"> 1  M</w:t>
      </w:r>
      <w:r w:rsidRPr="00800D22">
        <w:rPr>
          <w:szCs w:val="21"/>
        </w:rPr>
        <w:t xml:space="preserve">ajor domestic insurance companies </w:t>
      </w:r>
      <w:r w:rsidRPr="00800D22">
        <w:rPr>
          <w:rFonts w:hint="eastAsia"/>
          <w:szCs w:val="21"/>
        </w:rPr>
        <w:t>and</w:t>
      </w:r>
      <w:r w:rsidRPr="00800D22">
        <w:rPr>
          <w:szCs w:val="21"/>
        </w:rPr>
        <w:t xml:space="preserve"> investment</w:t>
      </w:r>
    </w:p>
    <w:p w14:paraId="4378C7A3" w14:textId="77777777" w:rsidR="00307F5A" w:rsidRPr="00800D22" w:rsidRDefault="00307F5A" w:rsidP="00307F5A">
      <w:pPr>
        <w:jc w:val="center"/>
        <w:rPr>
          <w:szCs w:val="21"/>
        </w:rPr>
      </w:pPr>
      <w:r w:rsidRPr="00800D22">
        <w:rPr>
          <w:szCs w:val="21"/>
        </w:rPr>
        <w:t xml:space="preserve">assets of the insurance industry </w:t>
      </w:r>
      <w:r w:rsidRPr="00800D22">
        <w:rPr>
          <w:rFonts w:hint="eastAsia"/>
          <w:szCs w:val="21"/>
        </w:rPr>
        <w:t>i</w:t>
      </w:r>
      <w:r w:rsidRPr="00800D22">
        <w:rPr>
          <w:szCs w:val="21"/>
        </w:rPr>
        <w:t>n June 2008</w:t>
      </w:r>
    </w:p>
    <w:tbl>
      <w:tblPr>
        <w:tblW w:w="5000" w:type="pct"/>
        <w:tblBorders>
          <w:top w:val="single" w:sz="4" w:space="0" w:color="auto"/>
          <w:bottom w:val="single" w:sz="4" w:space="0" w:color="auto"/>
        </w:tblBorders>
        <w:tblLook w:val="0000" w:firstRow="0" w:lastRow="0" w:firstColumn="0" w:lastColumn="0" w:noHBand="0" w:noVBand="0"/>
      </w:tblPr>
      <w:tblGrid>
        <w:gridCol w:w="2086"/>
        <w:gridCol w:w="1609"/>
        <w:gridCol w:w="1609"/>
        <w:gridCol w:w="1609"/>
        <w:gridCol w:w="1609"/>
      </w:tblGrid>
      <w:tr w:rsidR="00307F5A" w:rsidRPr="00800D22" w14:paraId="68690252" w14:textId="77777777" w:rsidTr="00573A00">
        <w:trPr>
          <w:trHeight w:val="285"/>
        </w:trPr>
        <w:tc>
          <w:tcPr>
            <w:tcW w:w="1224" w:type="pct"/>
            <w:tcBorders>
              <w:top w:val="single" w:sz="4" w:space="0" w:color="auto"/>
              <w:bottom w:val="single" w:sz="4" w:space="0" w:color="auto"/>
            </w:tcBorders>
            <w:noWrap/>
            <w:vAlign w:val="center"/>
          </w:tcPr>
          <w:p w14:paraId="0B8F9761" w14:textId="77777777" w:rsidR="00307F5A" w:rsidRPr="00800D22" w:rsidRDefault="00307F5A" w:rsidP="00573A00">
            <w:pPr>
              <w:widowControl/>
              <w:spacing w:line="360" w:lineRule="exact"/>
              <w:rPr>
                <w:kern w:val="0"/>
                <w:szCs w:val="21"/>
              </w:rPr>
            </w:pPr>
            <w:r w:rsidRPr="00800D22">
              <w:rPr>
                <w:rFonts w:hint="eastAsia"/>
                <w:kern w:val="0"/>
                <w:szCs w:val="21"/>
              </w:rPr>
              <w:t>资产种类</w:t>
            </w:r>
          </w:p>
        </w:tc>
        <w:tc>
          <w:tcPr>
            <w:tcW w:w="944" w:type="pct"/>
            <w:tcBorders>
              <w:top w:val="single" w:sz="4" w:space="0" w:color="auto"/>
              <w:bottom w:val="single" w:sz="4" w:space="0" w:color="auto"/>
            </w:tcBorders>
            <w:noWrap/>
            <w:vAlign w:val="center"/>
          </w:tcPr>
          <w:p w14:paraId="1EAF0B94" w14:textId="77777777" w:rsidR="00307F5A" w:rsidRPr="00800D22" w:rsidRDefault="00307F5A" w:rsidP="00573A00">
            <w:pPr>
              <w:widowControl/>
              <w:spacing w:line="360" w:lineRule="exact"/>
              <w:rPr>
                <w:kern w:val="0"/>
                <w:szCs w:val="21"/>
              </w:rPr>
            </w:pPr>
            <w:r w:rsidRPr="00800D22">
              <w:rPr>
                <w:rFonts w:hAnsi="宋体"/>
                <w:kern w:val="0"/>
                <w:szCs w:val="21"/>
              </w:rPr>
              <w:t>中国平安</w:t>
            </w:r>
          </w:p>
        </w:tc>
        <w:tc>
          <w:tcPr>
            <w:tcW w:w="944" w:type="pct"/>
            <w:tcBorders>
              <w:top w:val="single" w:sz="4" w:space="0" w:color="auto"/>
              <w:bottom w:val="single" w:sz="4" w:space="0" w:color="auto"/>
            </w:tcBorders>
            <w:noWrap/>
            <w:vAlign w:val="center"/>
          </w:tcPr>
          <w:p w14:paraId="3C5BEE1B" w14:textId="77777777" w:rsidR="00307F5A" w:rsidRPr="00800D22" w:rsidRDefault="00307F5A" w:rsidP="00573A00">
            <w:pPr>
              <w:widowControl/>
              <w:spacing w:line="360" w:lineRule="exact"/>
              <w:rPr>
                <w:kern w:val="0"/>
                <w:szCs w:val="21"/>
              </w:rPr>
            </w:pPr>
            <w:r w:rsidRPr="00800D22">
              <w:rPr>
                <w:rFonts w:hAnsi="宋体"/>
                <w:kern w:val="0"/>
                <w:szCs w:val="21"/>
              </w:rPr>
              <w:t>中国太保</w:t>
            </w:r>
          </w:p>
        </w:tc>
        <w:tc>
          <w:tcPr>
            <w:tcW w:w="944" w:type="pct"/>
            <w:tcBorders>
              <w:top w:val="single" w:sz="4" w:space="0" w:color="auto"/>
              <w:bottom w:val="single" w:sz="4" w:space="0" w:color="auto"/>
            </w:tcBorders>
            <w:noWrap/>
            <w:vAlign w:val="center"/>
          </w:tcPr>
          <w:p w14:paraId="2DCA4445" w14:textId="77777777" w:rsidR="00307F5A" w:rsidRPr="00800D22" w:rsidRDefault="00307F5A" w:rsidP="00573A00">
            <w:pPr>
              <w:widowControl/>
              <w:spacing w:line="360" w:lineRule="exact"/>
              <w:rPr>
                <w:kern w:val="0"/>
                <w:szCs w:val="21"/>
              </w:rPr>
            </w:pPr>
            <w:r w:rsidRPr="00800D22">
              <w:rPr>
                <w:rFonts w:hAnsi="宋体"/>
                <w:kern w:val="0"/>
                <w:szCs w:val="21"/>
              </w:rPr>
              <w:t>中国人寿</w:t>
            </w:r>
          </w:p>
        </w:tc>
        <w:tc>
          <w:tcPr>
            <w:tcW w:w="944" w:type="pct"/>
            <w:tcBorders>
              <w:top w:val="single" w:sz="4" w:space="0" w:color="auto"/>
              <w:bottom w:val="single" w:sz="4" w:space="0" w:color="auto"/>
            </w:tcBorders>
            <w:noWrap/>
            <w:vAlign w:val="center"/>
          </w:tcPr>
          <w:p w14:paraId="43A9E954" w14:textId="77777777" w:rsidR="00307F5A" w:rsidRPr="00800D22" w:rsidRDefault="00307F5A" w:rsidP="00573A00">
            <w:pPr>
              <w:widowControl/>
              <w:spacing w:line="360" w:lineRule="exact"/>
              <w:rPr>
                <w:kern w:val="0"/>
                <w:szCs w:val="21"/>
              </w:rPr>
            </w:pPr>
            <w:r w:rsidRPr="00800D22">
              <w:rPr>
                <w:rFonts w:hAnsi="宋体"/>
                <w:kern w:val="0"/>
                <w:szCs w:val="21"/>
              </w:rPr>
              <w:t>保险行业</w:t>
            </w:r>
          </w:p>
        </w:tc>
      </w:tr>
      <w:tr w:rsidR="00307F5A" w:rsidRPr="00800D22" w14:paraId="3D2066E7" w14:textId="77777777" w:rsidTr="00573A00">
        <w:trPr>
          <w:trHeight w:val="285"/>
        </w:trPr>
        <w:tc>
          <w:tcPr>
            <w:tcW w:w="1224" w:type="pct"/>
            <w:tcBorders>
              <w:top w:val="single" w:sz="4" w:space="0" w:color="auto"/>
            </w:tcBorders>
            <w:noWrap/>
            <w:vAlign w:val="center"/>
          </w:tcPr>
          <w:p w14:paraId="1F8AF695" w14:textId="77777777" w:rsidR="00307F5A" w:rsidRPr="00800D22" w:rsidRDefault="00307F5A" w:rsidP="00573A00">
            <w:pPr>
              <w:widowControl/>
              <w:spacing w:line="360" w:lineRule="exact"/>
              <w:rPr>
                <w:b/>
                <w:kern w:val="0"/>
                <w:sz w:val="18"/>
                <w:szCs w:val="18"/>
              </w:rPr>
            </w:pPr>
            <w:r w:rsidRPr="00800D22">
              <w:rPr>
                <w:rFonts w:hAnsi="宋体"/>
                <w:b/>
                <w:kern w:val="0"/>
                <w:sz w:val="18"/>
                <w:szCs w:val="18"/>
              </w:rPr>
              <w:t>固定收益类</w:t>
            </w:r>
            <w:r w:rsidRPr="00800D22">
              <w:rPr>
                <w:rFonts w:hAnsi="宋体" w:hint="eastAsia"/>
                <w:b/>
                <w:kern w:val="0"/>
                <w:sz w:val="18"/>
                <w:szCs w:val="18"/>
              </w:rPr>
              <w:t>资产</w:t>
            </w:r>
          </w:p>
        </w:tc>
        <w:tc>
          <w:tcPr>
            <w:tcW w:w="944" w:type="pct"/>
            <w:tcBorders>
              <w:top w:val="single" w:sz="4" w:space="0" w:color="auto"/>
            </w:tcBorders>
            <w:noWrap/>
            <w:vAlign w:val="center"/>
          </w:tcPr>
          <w:p w14:paraId="31227019" w14:textId="77777777" w:rsidR="00307F5A" w:rsidRPr="00800D22" w:rsidRDefault="00307F5A" w:rsidP="00573A00">
            <w:pPr>
              <w:widowControl/>
              <w:spacing w:line="360" w:lineRule="exact"/>
              <w:rPr>
                <w:b/>
                <w:kern w:val="0"/>
                <w:sz w:val="18"/>
                <w:szCs w:val="18"/>
              </w:rPr>
            </w:pPr>
            <w:r w:rsidRPr="00800D22">
              <w:rPr>
                <w:b/>
                <w:kern w:val="0"/>
                <w:sz w:val="18"/>
                <w:szCs w:val="18"/>
              </w:rPr>
              <w:t>84%</w:t>
            </w:r>
          </w:p>
        </w:tc>
        <w:tc>
          <w:tcPr>
            <w:tcW w:w="944" w:type="pct"/>
            <w:tcBorders>
              <w:top w:val="single" w:sz="4" w:space="0" w:color="auto"/>
            </w:tcBorders>
            <w:noWrap/>
            <w:vAlign w:val="center"/>
          </w:tcPr>
          <w:p w14:paraId="11332AE1" w14:textId="77777777" w:rsidR="00307F5A" w:rsidRPr="00800D22" w:rsidRDefault="00307F5A" w:rsidP="00573A00">
            <w:pPr>
              <w:widowControl/>
              <w:spacing w:line="360" w:lineRule="exact"/>
              <w:rPr>
                <w:b/>
                <w:kern w:val="0"/>
                <w:sz w:val="18"/>
                <w:szCs w:val="18"/>
              </w:rPr>
            </w:pPr>
            <w:r w:rsidRPr="00800D22">
              <w:rPr>
                <w:b/>
                <w:kern w:val="0"/>
                <w:sz w:val="18"/>
                <w:szCs w:val="18"/>
              </w:rPr>
              <w:t>87%</w:t>
            </w:r>
          </w:p>
        </w:tc>
        <w:tc>
          <w:tcPr>
            <w:tcW w:w="944" w:type="pct"/>
            <w:tcBorders>
              <w:top w:val="single" w:sz="4" w:space="0" w:color="auto"/>
            </w:tcBorders>
            <w:noWrap/>
            <w:vAlign w:val="center"/>
          </w:tcPr>
          <w:p w14:paraId="7300AB43" w14:textId="77777777" w:rsidR="00307F5A" w:rsidRPr="00800D22" w:rsidRDefault="00307F5A" w:rsidP="00573A00">
            <w:pPr>
              <w:widowControl/>
              <w:spacing w:line="360" w:lineRule="exact"/>
              <w:rPr>
                <w:b/>
                <w:kern w:val="0"/>
                <w:sz w:val="18"/>
                <w:szCs w:val="18"/>
              </w:rPr>
            </w:pPr>
            <w:r w:rsidRPr="00800D22">
              <w:rPr>
                <w:b/>
                <w:kern w:val="0"/>
                <w:sz w:val="18"/>
                <w:szCs w:val="18"/>
              </w:rPr>
              <w:t>87%</w:t>
            </w:r>
          </w:p>
        </w:tc>
        <w:tc>
          <w:tcPr>
            <w:tcW w:w="944" w:type="pct"/>
            <w:tcBorders>
              <w:top w:val="single" w:sz="4" w:space="0" w:color="auto"/>
            </w:tcBorders>
            <w:noWrap/>
            <w:vAlign w:val="center"/>
          </w:tcPr>
          <w:p w14:paraId="7BB72C03" w14:textId="77777777" w:rsidR="00307F5A" w:rsidRPr="00800D22" w:rsidRDefault="00307F5A" w:rsidP="00573A00">
            <w:pPr>
              <w:widowControl/>
              <w:spacing w:line="360" w:lineRule="exact"/>
              <w:rPr>
                <w:b/>
                <w:kern w:val="0"/>
                <w:sz w:val="18"/>
                <w:szCs w:val="18"/>
              </w:rPr>
            </w:pPr>
            <w:r w:rsidRPr="00800D22">
              <w:rPr>
                <w:b/>
                <w:kern w:val="0"/>
                <w:sz w:val="18"/>
                <w:szCs w:val="18"/>
              </w:rPr>
              <w:t>82%</w:t>
            </w:r>
          </w:p>
        </w:tc>
      </w:tr>
      <w:tr w:rsidR="00307F5A" w:rsidRPr="00800D22" w14:paraId="03B4082E" w14:textId="77777777" w:rsidTr="00573A00">
        <w:trPr>
          <w:trHeight w:val="285"/>
        </w:trPr>
        <w:tc>
          <w:tcPr>
            <w:tcW w:w="1224" w:type="pct"/>
            <w:noWrap/>
            <w:vAlign w:val="center"/>
          </w:tcPr>
          <w:p w14:paraId="1F18707B" w14:textId="77777777" w:rsidR="00307F5A" w:rsidRPr="00800D22" w:rsidRDefault="00307F5A" w:rsidP="00573A00">
            <w:pPr>
              <w:widowControl/>
              <w:spacing w:line="360" w:lineRule="exact"/>
              <w:rPr>
                <w:kern w:val="0"/>
                <w:sz w:val="18"/>
                <w:szCs w:val="18"/>
              </w:rPr>
            </w:pPr>
            <w:r w:rsidRPr="00800D22">
              <w:rPr>
                <w:rFonts w:hAnsi="宋体"/>
                <w:kern w:val="0"/>
                <w:sz w:val="18"/>
                <w:szCs w:val="18"/>
              </w:rPr>
              <w:t>债券</w:t>
            </w:r>
          </w:p>
        </w:tc>
        <w:tc>
          <w:tcPr>
            <w:tcW w:w="944" w:type="pct"/>
            <w:noWrap/>
            <w:vAlign w:val="center"/>
          </w:tcPr>
          <w:p w14:paraId="079FD9E1" w14:textId="77777777" w:rsidR="00307F5A" w:rsidRPr="00800D22" w:rsidRDefault="00307F5A" w:rsidP="00573A00">
            <w:pPr>
              <w:widowControl/>
              <w:spacing w:line="360" w:lineRule="exact"/>
              <w:rPr>
                <w:kern w:val="0"/>
                <w:sz w:val="18"/>
                <w:szCs w:val="18"/>
              </w:rPr>
            </w:pPr>
            <w:r w:rsidRPr="00800D22">
              <w:rPr>
                <w:kern w:val="0"/>
                <w:sz w:val="18"/>
                <w:szCs w:val="18"/>
              </w:rPr>
              <w:t>52%</w:t>
            </w:r>
          </w:p>
        </w:tc>
        <w:tc>
          <w:tcPr>
            <w:tcW w:w="944" w:type="pct"/>
            <w:noWrap/>
            <w:vAlign w:val="center"/>
          </w:tcPr>
          <w:p w14:paraId="1A765340" w14:textId="77777777" w:rsidR="00307F5A" w:rsidRPr="00800D22" w:rsidRDefault="00307F5A" w:rsidP="00573A00">
            <w:pPr>
              <w:widowControl/>
              <w:spacing w:line="360" w:lineRule="exact"/>
              <w:rPr>
                <w:kern w:val="0"/>
                <w:sz w:val="18"/>
                <w:szCs w:val="18"/>
              </w:rPr>
            </w:pPr>
            <w:r w:rsidRPr="00800D22">
              <w:rPr>
                <w:kern w:val="0"/>
                <w:sz w:val="18"/>
                <w:szCs w:val="18"/>
              </w:rPr>
              <w:t>51%</w:t>
            </w:r>
          </w:p>
        </w:tc>
        <w:tc>
          <w:tcPr>
            <w:tcW w:w="944" w:type="pct"/>
            <w:noWrap/>
            <w:vAlign w:val="center"/>
          </w:tcPr>
          <w:p w14:paraId="48646ECE" w14:textId="77777777" w:rsidR="00307F5A" w:rsidRPr="00800D22" w:rsidRDefault="00307F5A" w:rsidP="00573A00">
            <w:pPr>
              <w:widowControl/>
              <w:spacing w:line="360" w:lineRule="exact"/>
              <w:rPr>
                <w:kern w:val="0"/>
                <w:sz w:val="18"/>
                <w:szCs w:val="18"/>
              </w:rPr>
            </w:pPr>
            <w:r w:rsidRPr="00800D22">
              <w:rPr>
                <w:kern w:val="0"/>
                <w:sz w:val="18"/>
                <w:szCs w:val="18"/>
              </w:rPr>
              <w:t>59%</w:t>
            </w:r>
          </w:p>
        </w:tc>
        <w:tc>
          <w:tcPr>
            <w:tcW w:w="944" w:type="pct"/>
            <w:noWrap/>
            <w:vAlign w:val="center"/>
          </w:tcPr>
          <w:p w14:paraId="4FFBA349" w14:textId="77777777" w:rsidR="00307F5A" w:rsidRPr="00800D22" w:rsidRDefault="00307F5A" w:rsidP="00573A00">
            <w:pPr>
              <w:widowControl/>
              <w:spacing w:line="360" w:lineRule="exact"/>
              <w:rPr>
                <w:kern w:val="0"/>
                <w:sz w:val="18"/>
                <w:szCs w:val="18"/>
              </w:rPr>
            </w:pPr>
            <w:r w:rsidRPr="00800D22">
              <w:rPr>
                <w:kern w:val="0"/>
                <w:sz w:val="18"/>
                <w:szCs w:val="18"/>
              </w:rPr>
              <w:t>53%</w:t>
            </w:r>
          </w:p>
        </w:tc>
      </w:tr>
      <w:tr w:rsidR="00307F5A" w:rsidRPr="00800D22" w14:paraId="0EAE384A" w14:textId="77777777" w:rsidTr="00573A00">
        <w:trPr>
          <w:trHeight w:val="285"/>
        </w:trPr>
        <w:tc>
          <w:tcPr>
            <w:tcW w:w="1224" w:type="pct"/>
            <w:noWrap/>
            <w:vAlign w:val="center"/>
          </w:tcPr>
          <w:p w14:paraId="2CAA8C54" w14:textId="77777777" w:rsidR="00307F5A" w:rsidRPr="00800D22" w:rsidRDefault="00307F5A" w:rsidP="00573A00">
            <w:pPr>
              <w:widowControl/>
              <w:spacing w:line="360" w:lineRule="exact"/>
              <w:rPr>
                <w:kern w:val="0"/>
                <w:sz w:val="18"/>
                <w:szCs w:val="18"/>
              </w:rPr>
            </w:pPr>
            <w:r w:rsidRPr="00800D22">
              <w:rPr>
                <w:rFonts w:hAnsi="宋体"/>
                <w:kern w:val="0"/>
                <w:sz w:val="18"/>
                <w:szCs w:val="18"/>
              </w:rPr>
              <w:t>定期存款</w:t>
            </w:r>
          </w:p>
        </w:tc>
        <w:tc>
          <w:tcPr>
            <w:tcW w:w="944" w:type="pct"/>
            <w:noWrap/>
            <w:vAlign w:val="center"/>
          </w:tcPr>
          <w:p w14:paraId="25D62E29" w14:textId="77777777" w:rsidR="00307F5A" w:rsidRPr="00800D22" w:rsidRDefault="00307F5A" w:rsidP="00573A00">
            <w:pPr>
              <w:widowControl/>
              <w:spacing w:line="360" w:lineRule="exact"/>
              <w:rPr>
                <w:kern w:val="0"/>
                <w:sz w:val="18"/>
                <w:szCs w:val="18"/>
              </w:rPr>
            </w:pPr>
            <w:r w:rsidRPr="00800D22">
              <w:rPr>
                <w:kern w:val="0"/>
                <w:sz w:val="18"/>
                <w:szCs w:val="18"/>
              </w:rPr>
              <w:t>11%</w:t>
            </w:r>
          </w:p>
        </w:tc>
        <w:tc>
          <w:tcPr>
            <w:tcW w:w="944" w:type="pct"/>
            <w:noWrap/>
            <w:vAlign w:val="center"/>
          </w:tcPr>
          <w:p w14:paraId="24B5A4DA" w14:textId="77777777" w:rsidR="00307F5A" w:rsidRPr="00800D22" w:rsidRDefault="00307F5A" w:rsidP="00573A00">
            <w:pPr>
              <w:widowControl/>
              <w:spacing w:line="360" w:lineRule="exact"/>
              <w:rPr>
                <w:kern w:val="0"/>
                <w:sz w:val="18"/>
                <w:szCs w:val="18"/>
              </w:rPr>
            </w:pPr>
            <w:r w:rsidRPr="00800D22">
              <w:rPr>
                <w:kern w:val="0"/>
                <w:sz w:val="18"/>
                <w:szCs w:val="18"/>
              </w:rPr>
              <w:t>27%</w:t>
            </w:r>
          </w:p>
        </w:tc>
        <w:tc>
          <w:tcPr>
            <w:tcW w:w="944" w:type="pct"/>
            <w:noWrap/>
            <w:vAlign w:val="center"/>
          </w:tcPr>
          <w:p w14:paraId="6781FD62" w14:textId="77777777" w:rsidR="00307F5A" w:rsidRPr="00800D22" w:rsidRDefault="00307F5A" w:rsidP="00573A00">
            <w:pPr>
              <w:widowControl/>
              <w:spacing w:line="360" w:lineRule="exact"/>
              <w:rPr>
                <w:kern w:val="0"/>
                <w:sz w:val="18"/>
                <w:szCs w:val="18"/>
              </w:rPr>
            </w:pPr>
            <w:r w:rsidRPr="00800D22">
              <w:rPr>
                <w:kern w:val="0"/>
                <w:sz w:val="18"/>
                <w:szCs w:val="18"/>
              </w:rPr>
              <w:t>21%</w:t>
            </w:r>
          </w:p>
        </w:tc>
        <w:tc>
          <w:tcPr>
            <w:tcW w:w="944" w:type="pct"/>
            <w:noWrap/>
            <w:vAlign w:val="center"/>
          </w:tcPr>
          <w:p w14:paraId="00E28FAB" w14:textId="77777777" w:rsidR="00307F5A" w:rsidRPr="00800D22" w:rsidRDefault="00307F5A" w:rsidP="00573A00">
            <w:pPr>
              <w:widowControl/>
              <w:spacing w:line="360" w:lineRule="exact"/>
              <w:rPr>
                <w:kern w:val="0"/>
                <w:sz w:val="18"/>
                <w:szCs w:val="18"/>
              </w:rPr>
            </w:pPr>
            <w:r w:rsidRPr="00800D22">
              <w:rPr>
                <w:kern w:val="0"/>
                <w:sz w:val="18"/>
                <w:szCs w:val="18"/>
              </w:rPr>
              <w:t>26%</w:t>
            </w:r>
          </w:p>
        </w:tc>
      </w:tr>
      <w:tr w:rsidR="00307F5A" w:rsidRPr="00800D22" w14:paraId="3100DABA" w14:textId="77777777" w:rsidTr="00573A00">
        <w:trPr>
          <w:trHeight w:val="285"/>
        </w:trPr>
        <w:tc>
          <w:tcPr>
            <w:tcW w:w="1224" w:type="pct"/>
            <w:noWrap/>
            <w:vAlign w:val="center"/>
          </w:tcPr>
          <w:p w14:paraId="4CB225F5" w14:textId="77777777" w:rsidR="00307F5A" w:rsidRPr="00800D22" w:rsidRDefault="00307F5A" w:rsidP="00573A00">
            <w:pPr>
              <w:widowControl/>
              <w:spacing w:line="360" w:lineRule="exact"/>
              <w:rPr>
                <w:kern w:val="0"/>
                <w:sz w:val="18"/>
                <w:szCs w:val="18"/>
              </w:rPr>
            </w:pPr>
            <w:r w:rsidRPr="00800D22">
              <w:rPr>
                <w:rFonts w:hAnsi="宋体"/>
                <w:kern w:val="0"/>
                <w:sz w:val="18"/>
                <w:szCs w:val="18"/>
              </w:rPr>
              <w:t>现金</w:t>
            </w:r>
            <w:r w:rsidRPr="00800D22">
              <w:rPr>
                <w:rFonts w:hAnsi="宋体" w:hint="eastAsia"/>
                <w:kern w:val="0"/>
                <w:sz w:val="18"/>
                <w:szCs w:val="18"/>
              </w:rPr>
              <w:t>及</w:t>
            </w:r>
            <w:r w:rsidRPr="00800D22">
              <w:rPr>
                <w:rFonts w:hAnsi="宋体"/>
                <w:kern w:val="0"/>
                <w:sz w:val="18"/>
                <w:szCs w:val="18"/>
              </w:rPr>
              <w:t>其他</w:t>
            </w:r>
          </w:p>
        </w:tc>
        <w:tc>
          <w:tcPr>
            <w:tcW w:w="944" w:type="pct"/>
            <w:noWrap/>
            <w:vAlign w:val="center"/>
          </w:tcPr>
          <w:p w14:paraId="6966FA63" w14:textId="77777777" w:rsidR="00307F5A" w:rsidRPr="00800D22" w:rsidRDefault="00307F5A" w:rsidP="00573A00">
            <w:pPr>
              <w:widowControl/>
              <w:spacing w:line="360" w:lineRule="exact"/>
              <w:rPr>
                <w:kern w:val="0"/>
                <w:sz w:val="18"/>
                <w:szCs w:val="18"/>
              </w:rPr>
            </w:pPr>
            <w:r w:rsidRPr="00800D22">
              <w:rPr>
                <w:kern w:val="0"/>
                <w:sz w:val="18"/>
                <w:szCs w:val="18"/>
              </w:rPr>
              <w:t>21%</w:t>
            </w:r>
          </w:p>
        </w:tc>
        <w:tc>
          <w:tcPr>
            <w:tcW w:w="944" w:type="pct"/>
            <w:noWrap/>
            <w:vAlign w:val="center"/>
          </w:tcPr>
          <w:p w14:paraId="2EA089F9" w14:textId="77777777" w:rsidR="00307F5A" w:rsidRPr="00800D22" w:rsidRDefault="00307F5A" w:rsidP="00573A00">
            <w:pPr>
              <w:widowControl/>
              <w:spacing w:line="360" w:lineRule="exact"/>
              <w:rPr>
                <w:kern w:val="0"/>
                <w:sz w:val="18"/>
                <w:szCs w:val="18"/>
              </w:rPr>
            </w:pPr>
            <w:r w:rsidRPr="00800D22">
              <w:rPr>
                <w:kern w:val="0"/>
                <w:sz w:val="18"/>
                <w:szCs w:val="18"/>
              </w:rPr>
              <w:t>9%</w:t>
            </w:r>
          </w:p>
        </w:tc>
        <w:tc>
          <w:tcPr>
            <w:tcW w:w="944" w:type="pct"/>
            <w:noWrap/>
            <w:vAlign w:val="center"/>
          </w:tcPr>
          <w:p w14:paraId="5FD9DF69" w14:textId="77777777" w:rsidR="00307F5A" w:rsidRPr="00800D22" w:rsidRDefault="00307F5A" w:rsidP="00573A00">
            <w:pPr>
              <w:widowControl/>
              <w:spacing w:line="360" w:lineRule="exact"/>
              <w:rPr>
                <w:kern w:val="0"/>
                <w:sz w:val="18"/>
                <w:szCs w:val="18"/>
              </w:rPr>
            </w:pPr>
            <w:r w:rsidRPr="00800D22">
              <w:rPr>
                <w:kern w:val="0"/>
                <w:sz w:val="18"/>
                <w:szCs w:val="18"/>
              </w:rPr>
              <w:t>7%</w:t>
            </w:r>
          </w:p>
        </w:tc>
        <w:tc>
          <w:tcPr>
            <w:tcW w:w="944" w:type="pct"/>
            <w:noWrap/>
            <w:vAlign w:val="center"/>
          </w:tcPr>
          <w:p w14:paraId="445CA3B3" w14:textId="77777777" w:rsidR="00307F5A" w:rsidRPr="00800D22" w:rsidRDefault="00307F5A" w:rsidP="00573A00">
            <w:pPr>
              <w:widowControl/>
              <w:spacing w:line="360" w:lineRule="exact"/>
              <w:rPr>
                <w:kern w:val="0"/>
                <w:sz w:val="18"/>
                <w:szCs w:val="18"/>
              </w:rPr>
            </w:pPr>
            <w:r w:rsidRPr="00800D22">
              <w:rPr>
                <w:kern w:val="0"/>
                <w:sz w:val="18"/>
                <w:szCs w:val="18"/>
              </w:rPr>
              <w:t>3%</w:t>
            </w:r>
          </w:p>
        </w:tc>
      </w:tr>
      <w:tr w:rsidR="00307F5A" w:rsidRPr="00800D22" w14:paraId="50801615" w14:textId="77777777" w:rsidTr="00573A00">
        <w:trPr>
          <w:trHeight w:val="285"/>
        </w:trPr>
        <w:tc>
          <w:tcPr>
            <w:tcW w:w="1224" w:type="pct"/>
            <w:noWrap/>
            <w:vAlign w:val="center"/>
          </w:tcPr>
          <w:p w14:paraId="08D3DD1A" w14:textId="77777777" w:rsidR="00307F5A" w:rsidRPr="00800D22" w:rsidRDefault="00307F5A" w:rsidP="00573A00">
            <w:pPr>
              <w:widowControl/>
              <w:spacing w:line="360" w:lineRule="exact"/>
              <w:rPr>
                <w:b/>
                <w:kern w:val="0"/>
                <w:sz w:val="18"/>
                <w:szCs w:val="18"/>
              </w:rPr>
            </w:pPr>
            <w:r w:rsidRPr="00800D22">
              <w:rPr>
                <w:rFonts w:hAnsi="宋体"/>
                <w:b/>
                <w:kern w:val="0"/>
                <w:sz w:val="18"/>
                <w:szCs w:val="18"/>
              </w:rPr>
              <w:t>权益类</w:t>
            </w:r>
            <w:r w:rsidRPr="00800D22">
              <w:rPr>
                <w:rFonts w:hAnsi="宋体" w:hint="eastAsia"/>
                <w:b/>
                <w:kern w:val="0"/>
                <w:sz w:val="18"/>
                <w:szCs w:val="18"/>
              </w:rPr>
              <w:t>资产</w:t>
            </w:r>
          </w:p>
        </w:tc>
        <w:tc>
          <w:tcPr>
            <w:tcW w:w="944" w:type="pct"/>
            <w:noWrap/>
            <w:vAlign w:val="center"/>
          </w:tcPr>
          <w:p w14:paraId="42D5E585" w14:textId="77777777" w:rsidR="00307F5A" w:rsidRPr="00800D22" w:rsidRDefault="00307F5A" w:rsidP="00573A00">
            <w:pPr>
              <w:widowControl/>
              <w:spacing w:line="360" w:lineRule="exact"/>
              <w:rPr>
                <w:b/>
                <w:kern w:val="0"/>
                <w:sz w:val="18"/>
                <w:szCs w:val="18"/>
              </w:rPr>
            </w:pPr>
            <w:r w:rsidRPr="00800D22">
              <w:rPr>
                <w:b/>
                <w:kern w:val="0"/>
                <w:sz w:val="18"/>
                <w:szCs w:val="18"/>
              </w:rPr>
              <w:t>16%</w:t>
            </w:r>
          </w:p>
        </w:tc>
        <w:tc>
          <w:tcPr>
            <w:tcW w:w="944" w:type="pct"/>
            <w:noWrap/>
            <w:vAlign w:val="center"/>
          </w:tcPr>
          <w:p w14:paraId="22D2E633" w14:textId="77777777" w:rsidR="00307F5A" w:rsidRPr="00800D22" w:rsidRDefault="00307F5A" w:rsidP="00573A00">
            <w:pPr>
              <w:widowControl/>
              <w:spacing w:line="360" w:lineRule="exact"/>
              <w:rPr>
                <w:b/>
                <w:kern w:val="0"/>
                <w:sz w:val="18"/>
                <w:szCs w:val="18"/>
              </w:rPr>
            </w:pPr>
            <w:r w:rsidRPr="00800D22">
              <w:rPr>
                <w:b/>
                <w:kern w:val="0"/>
                <w:sz w:val="18"/>
                <w:szCs w:val="18"/>
              </w:rPr>
              <w:t>13%</w:t>
            </w:r>
          </w:p>
        </w:tc>
        <w:tc>
          <w:tcPr>
            <w:tcW w:w="944" w:type="pct"/>
            <w:noWrap/>
            <w:vAlign w:val="center"/>
          </w:tcPr>
          <w:p w14:paraId="0FD605ED" w14:textId="77777777" w:rsidR="00307F5A" w:rsidRPr="00800D22" w:rsidRDefault="00307F5A" w:rsidP="00573A00">
            <w:pPr>
              <w:widowControl/>
              <w:spacing w:line="360" w:lineRule="exact"/>
              <w:rPr>
                <w:b/>
                <w:kern w:val="0"/>
                <w:sz w:val="18"/>
                <w:szCs w:val="18"/>
              </w:rPr>
            </w:pPr>
            <w:r w:rsidRPr="00800D22">
              <w:rPr>
                <w:b/>
                <w:kern w:val="0"/>
                <w:sz w:val="18"/>
                <w:szCs w:val="18"/>
              </w:rPr>
              <w:t>13%</w:t>
            </w:r>
          </w:p>
        </w:tc>
        <w:tc>
          <w:tcPr>
            <w:tcW w:w="944" w:type="pct"/>
            <w:noWrap/>
            <w:vAlign w:val="center"/>
          </w:tcPr>
          <w:p w14:paraId="20AE0EF2" w14:textId="77777777" w:rsidR="00307F5A" w:rsidRPr="00800D22" w:rsidRDefault="00307F5A" w:rsidP="00573A00">
            <w:pPr>
              <w:widowControl/>
              <w:spacing w:line="360" w:lineRule="exact"/>
              <w:rPr>
                <w:b/>
                <w:kern w:val="0"/>
                <w:sz w:val="18"/>
                <w:szCs w:val="18"/>
              </w:rPr>
            </w:pPr>
            <w:r w:rsidRPr="00800D22">
              <w:rPr>
                <w:b/>
                <w:kern w:val="0"/>
                <w:sz w:val="18"/>
                <w:szCs w:val="18"/>
              </w:rPr>
              <w:t>18%</w:t>
            </w:r>
          </w:p>
        </w:tc>
      </w:tr>
    </w:tbl>
    <w:p w14:paraId="5CDBF7FF" w14:textId="77777777" w:rsidR="00307F5A" w:rsidRPr="00800D22" w:rsidRDefault="00307F5A" w:rsidP="00307F5A">
      <w:pPr>
        <w:spacing w:afterLines="100" w:after="312"/>
        <w:rPr>
          <w:sz w:val="18"/>
          <w:szCs w:val="18"/>
        </w:rPr>
      </w:pPr>
      <w:r w:rsidRPr="00800D22">
        <w:rPr>
          <w:sz w:val="18"/>
          <w:szCs w:val="18"/>
        </w:rPr>
        <w:t>资料来源：</w:t>
      </w:r>
      <w:r w:rsidRPr="00800D22">
        <w:rPr>
          <w:rFonts w:hint="eastAsia"/>
          <w:sz w:val="18"/>
          <w:szCs w:val="18"/>
        </w:rPr>
        <w:t>各家保险</w:t>
      </w:r>
      <w:r w:rsidRPr="00800D22">
        <w:rPr>
          <w:sz w:val="18"/>
          <w:szCs w:val="18"/>
        </w:rPr>
        <w:t>公司</w:t>
      </w:r>
      <w:r w:rsidRPr="00800D22">
        <w:rPr>
          <w:rFonts w:hint="eastAsia"/>
          <w:sz w:val="18"/>
          <w:szCs w:val="18"/>
        </w:rPr>
        <w:t>2008</w:t>
      </w:r>
      <w:r w:rsidRPr="00800D22">
        <w:rPr>
          <w:rFonts w:hint="eastAsia"/>
          <w:sz w:val="18"/>
          <w:szCs w:val="18"/>
        </w:rPr>
        <w:t>年半</w:t>
      </w:r>
      <w:r w:rsidRPr="00800D22">
        <w:rPr>
          <w:sz w:val="18"/>
          <w:szCs w:val="18"/>
        </w:rPr>
        <w:t>年报</w:t>
      </w:r>
      <w:r w:rsidRPr="00800D22">
        <w:rPr>
          <w:rFonts w:hint="eastAsia"/>
          <w:sz w:val="18"/>
          <w:szCs w:val="18"/>
        </w:rPr>
        <w:t>、</w:t>
      </w:r>
      <w:r w:rsidRPr="00800D22">
        <w:rPr>
          <w:sz w:val="18"/>
          <w:szCs w:val="18"/>
        </w:rPr>
        <w:t>保监会</w:t>
      </w:r>
      <w:r w:rsidRPr="00800D22">
        <w:rPr>
          <w:rFonts w:hint="eastAsia"/>
          <w:sz w:val="18"/>
          <w:szCs w:val="18"/>
        </w:rPr>
        <w:t>网站</w:t>
      </w:r>
    </w:p>
    <w:p w14:paraId="7DC5DFB4" w14:textId="77777777" w:rsidR="00307F5A" w:rsidRPr="00800D22" w:rsidRDefault="00307F5A" w:rsidP="00307F5A">
      <w:pPr>
        <w:spacing w:line="440" w:lineRule="exact"/>
        <w:ind w:firstLineChars="200" w:firstLine="420"/>
      </w:pPr>
      <w:r w:rsidRPr="00800D22">
        <w:rPr>
          <w:rFonts w:hint="eastAsia"/>
        </w:rPr>
        <w:t>保险公司已是债券市场交易的主体，根据中国债券信息网数据显示，保险公司</w:t>
      </w:r>
      <w:r w:rsidRPr="00800D22">
        <w:rPr>
          <w:rFonts w:hint="eastAsia"/>
        </w:rPr>
        <w:t>2008</w:t>
      </w:r>
      <w:r w:rsidRPr="00800D22">
        <w:rPr>
          <w:rFonts w:hint="eastAsia"/>
        </w:rPr>
        <w:t>年债券持有量占全部债券的</w:t>
      </w:r>
      <w:r w:rsidRPr="00800D22">
        <w:rPr>
          <w:rFonts w:hint="eastAsia"/>
        </w:rPr>
        <w:t>9.25%</w:t>
      </w:r>
      <w:r w:rsidRPr="00800D22">
        <w:rPr>
          <w:rFonts w:hint="eastAsia"/>
        </w:rPr>
        <w:t>，持有规模仅次于商业银行和信用社。尽管债券投资的风险较小，但随着国内债券品种和债券发行人的多样化趋势不断加大，各类债券所面临的风险差异程度越来越大。为此保监会从保险公司和债券发行人的角度，对保险公司投资债券的品种、数量等进行限制，以尽可能地降低保险公司债券投资风险。从债券发行人主体</w:t>
      </w:r>
      <w:proofErr w:type="gramStart"/>
      <w:r w:rsidRPr="00800D22">
        <w:rPr>
          <w:rFonts w:hint="eastAsia"/>
        </w:rPr>
        <w:t>级别和债项</w:t>
      </w:r>
      <w:proofErr w:type="gramEnd"/>
      <w:r w:rsidRPr="00800D22">
        <w:rPr>
          <w:rFonts w:hint="eastAsia"/>
        </w:rPr>
        <w:t>级别角度，保监会对符合保险公司投资条件的金融债券、企业（公司）债券、短期融资</w:t>
      </w:r>
      <w:proofErr w:type="gramStart"/>
      <w:r w:rsidRPr="00800D22">
        <w:rPr>
          <w:rFonts w:hint="eastAsia"/>
        </w:rPr>
        <w:t>券</w:t>
      </w:r>
      <w:proofErr w:type="gramEnd"/>
      <w:r w:rsidRPr="00800D22">
        <w:rPr>
          <w:rFonts w:hint="eastAsia"/>
        </w:rPr>
        <w:t>（以下简称“短券”）等做出一系列的规定：只有当债券的主体</w:t>
      </w:r>
      <w:proofErr w:type="gramStart"/>
      <w:r w:rsidRPr="00800D22">
        <w:rPr>
          <w:rFonts w:hint="eastAsia"/>
        </w:rPr>
        <w:t>级别和债项</w:t>
      </w:r>
      <w:proofErr w:type="gramEnd"/>
      <w:r w:rsidRPr="00800D22">
        <w:rPr>
          <w:rFonts w:hint="eastAsia"/>
        </w:rPr>
        <w:t>级别符合一定的条件时，保险公司才能投资该类债券。国际清算银行报告（</w:t>
      </w:r>
      <w:r w:rsidRPr="00800D22">
        <w:rPr>
          <w:rFonts w:hint="eastAsia"/>
        </w:rPr>
        <w:t>1999</w:t>
      </w:r>
      <w:r w:rsidRPr="00800D22">
        <w:rPr>
          <w:rFonts w:hint="eastAsia"/>
        </w:rPr>
        <w:t>）指出，金融市场参与者的差异性影响市场的流动性，市场参与者越多，债券投资的目标多元化程度越高，进而债券市场的流动性水平也越高。与不符合保险公司购买条件的债券相比，主体</w:t>
      </w:r>
      <w:proofErr w:type="gramStart"/>
      <w:r w:rsidRPr="00800D22">
        <w:rPr>
          <w:rFonts w:hint="eastAsia"/>
        </w:rPr>
        <w:t>级别和债项</w:t>
      </w:r>
      <w:proofErr w:type="gramEnd"/>
      <w:r w:rsidRPr="00800D22">
        <w:rPr>
          <w:rFonts w:hint="eastAsia"/>
        </w:rPr>
        <w:t>级别符合保险公司购买条件的债券多了保险公司这一机构投资者，势必对这两类债券的市场流动性带来一定的影响。本文试图从保监会对保险公司债券投资对象的主体级别和债券级别限制情况入手，研究保监会的这一限制所形成的保险公司对两类债券市场流动性水平的影响。</w:t>
      </w:r>
    </w:p>
    <w:p w14:paraId="2B23F613" w14:textId="77777777" w:rsidR="00307F5A" w:rsidRPr="00800D22" w:rsidRDefault="00307F5A" w:rsidP="00307F5A">
      <w:pPr>
        <w:spacing w:beforeLines="100" w:before="312" w:afterLines="100" w:after="312" w:line="440" w:lineRule="exact"/>
        <w:jc w:val="center"/>
        <w:rPr>
          <w:b/>
          <w:sz w:val="24"/>
        </w:rPr>
      </w:pPr>
      <w:r w:rsidRPr="00800D22">
        <w:rPr>
          <w:rFonts w:hint="eastAsia"/>
          <w:b/>
          <w:sz w:val="24"/>
        </w:rPr>
        <w:t>一、保险公司投资债券在债券发行人信用级别方面受保监会限制情况</w:t>
      </w:r>
    </w:p>
    <w:p w14:paraId="1DA41025" w14:textId="77777777" w:rsidR="00307F5A" w:rsidRPr="00800D22" w:rsidRDefault="00307F5A" w:rsidP="00307F5A">
      <w:pPr>
        <w:adjustRightInd w:val="0"/>
        <w:snapToGrid w:val="0"/>
        <w:spacing w:line="440" w:lineRule="exact"/>
        <w:ind w:firstLineChars="200" w:firstLine="452"/>
        <w:rPr>
          <w:szCs w:val="21"/>
        </w:rPr>
      </w:pPr>
      <w:r w:rsidRPr="00800D22">
        <w:rPr>
          <w:spacing w:val="8"/>
          <w:szCs w:val="21"/>
        </w:rPr>
        <w:lastRenderedPageBreak/>
        <w:t>2005</w:t>
      </w:r>
      <w:r w:rsidRPr="00800D22">
        <w:rPr>
          <w:spacing w:val="8"/>
          <w:szCs w:val="21"/>
        </w:rPr>
        <w:t>年</w:t>
      </w:r>
      <w:r w:rsidRPr="00800D22">
        <w:rPr>
          <w:spacing w:val="8"/>
          <w:szCs w:val="21"/>
        </w:rPr>
        <w:t>12</w:t>
      </w:r>
      <w:r w:rsidRPr="00800D22">
        <w:rPr>
          <w:spacing w:val="8"/>
          <w:szCs w:val="21"/>
        </w:rPr>
        <w:t>月，保监会发布</w:t>
      </w:r>
      <w:r w:rsidRPr="00800D22">
        <w:rPr>
          <w:szCs w:val="21"/>
        </w:rPr>
        <w:t>《保险机构投资者债券投资管理暂行办法》（以下简称</w:t>
      </w:r>
      <w:r w:rsidRPr="00800D22">
        <w:rPr>
          <w:szCs w:val="21"/>
        </w:rPr>
        <w:t>“</w:t>
      </w:r>
      <w:r w:rsidRPr="00800D22">
        <w:rPr>
          <w:szCs w:val="21"/>
        </w:rPr>
        <w:t>《办法》</w:t>
      </w:r>
      <w:r w:rsidRPr="00800D22">
        <w:rPr>
          <w:szCs w:val="21"/>
        </w:rPr>
        <w:t>”</w:t>
      </w:r>
      <w:r w:rsidRPr="00800D22">
        <w:rPr>
          <w:szCs w:val="21"/>
        </w:rPr>
        <w:t>）（保监发</w:t>
      </w:r>
      <w:r w:rsidRPr="00800D22">
        <w:rPr>
          <w:szCs w:val="21"/>
        </w:rPr>
        <w:t>[2005]72</w:t>
      </w:r>
      <w:r w:rsidRPr="00800D22">
        <w:rPr>
          <w:szCs w:val="21"/>
        </w:rPr>
        <w:t>号），从保险公司和发行人的层面对保险公司债券</w:t>
      </w:r>
      <w:r w:rsidRPr="00800D22">
        <w:rPr>
          <w:rFonts w:hint="eastAsia"/>
          <w:szCs w:val="21"/>
        </w:rPr>
        <w:t>投资</w:t>
      </w:r>
      <w:r w:rsidRPr="00800D22">
        <w:rPr>
          <w:szCs w:val="21"/>
        </w:rPr>
        <w:t>进行</w:t>
      </w:r>
      <w:r w:rsidRPr="00800D22">
        <w:rPr>
          <w:rFonts w:hint="eastAsia"/>
          <w:szCs w:val="21"/>
        </w:rPr>
        <w:t>了</w:t>
      </w:r>
      <w:r w:rsidRPr="00800D22">
        <w:rPr>
          <w:szCs w:val="21"/>
        </w:rPr>
        <w:t>相关的规定。</w:t>
      </w:r>
      <w:r w:rsidRPr="00800D22">
        <w:rPr>
          <w:rFonts w:hint="eastAsia"/>
          <w:szCs w:val="21"/>
        </w:rPr>
        <w:t>其中，《办法》明确规定了保险公司投资金融债券、企业（公司）债券、可转换公司债</w:t>
      </w:r>
      <w:proofErr w:type="gramStart"/>
      <w:r w:rsidRPr="00800D22">
        <w:rPr>
          <w:rFonts w:hint="eastAsia"/>
          <w:szCs w:val="21"/>
        </w:rPr>
        <w:t>券</w:t>
      </w:r>
      <w:proofErr w:type="gramEnd"/>
      <w:r w:rsidRPr="00800D22">
        <w:rPr>
          <w:rFonts w:hint="eastAsia"/>
          <w:szCs w:val="21"/>
        </w:rPr>
        <w:t>、短</w:t>
      </w:r>
      <w:proofErr w:type="gramStart"/>
      <w:r w:rsidRPr="00800D22">
        <w:rPr>
          <w:rFonts w:hint="eastAsia"/>
          <w:szCs w:val="21"/>
        </w:rPr>
        <w:t>券</w:t>
      </w:r>
      <w:proofErr w:type="gramEnd"/>
      <w:r w:rsidRPr="00800D22">
        <w:rPr>
          <w:rFonts w:hint="eastAsia"/>
          <w:szCs w:val="21"/>
        </w:rPr>
        <w:t>所对应的债券主体</w:t>
      </w:r>
      <w:proofErr w:type="gramStart"/>
      <w:r w:rsidRPr="00800D22">
        <w:rPr>
          <w:rFonts w:hint="eastAsia"/>
          <w:szCs w:val="21"/>
        </w:rPr>
        <w:t>级别和债项</w:t>
      </w:r>
      <w:proofErr w:type="gramEnd"/>
      <w:r w:rsidRPr="00800D22">
        <w:rPr>
          <w:rFonts w:hint="eastAsia"/>
          <w:szCs w:val="21"/>
        </w:rPr>
        <w:t>级别要求。</w:t>
      </w:r>
    </w:p>
    <w:p w14:paraId="3A0C1BBB" w14:textId="5853FCD0" w:rsidR="00307F5A" w:rsidRPr="00800D22" w:rsidRDefault="00307F5A" w:rsidP="00307F5A">
      <w:pPr>
        <w:pStyle w:val="ae"/>
        <w:spacing w:beforeLines="100" w:before="312"/>
        <w:jc w:val="center"/>
        <w:rPr>
          <w:rFonts w:ascii="Times New Roman" w:eastAsia="新宋体" w:hAnsi="新宋体" w:cs="Times New Roman"/>
          <w:sz w:val="21"/>
          <w:szCs w:val="21"/>
        </w:rPr>
      </w:pPr>
      <w:bookmarkStart w:id="2" w:name="_Toc256506929"/>
      <w:r w:rsidRPr="00800D22">
        <w:rPr>
          <w:rFonts w:ascii="Times New Roman" w:eastAsia="新宋体" w:hAnsi="新宋体" w:cs="Times New Roman" w:hint="eastAsia"/>
          <w:sz w:val="21"/>
          <w:szCs w:val="21"/>
        </w:rPr>
        <w:t>表</w:t>
      </w:r>
      <w:r w:rsidRPr="00800D22">
        <w:rPr>
          <w:rFonts w:ascii="Times New Roman" w:eastAsia="新宋体" w:hAnsi="新宋体" w:cs="Times New Roman"/>
          <w:sz w:val="21"/>
          <w:szCs w:val="21"/>
        </w:rPr>
        <w:fldChar w:fldCharType="begin"/>
      </w:r>
      <w:r w:rsidRPr="00800D22">
        <w:rPr>
          <w:rFonts w:ascii="Times New Roman" w:eastAsia="新宋体" w:hAnsi="新宋体" w:cs="Times New Roman"/>
          <w:sz w:val="21"/>
          <w:szCs w:val="21"/>
        </w:rPr>
        <w:instrText xml:space="preserve"> </w:instrText>
      </w:r>
      <w:r w:rsidRPr="00800D22">
        <w:rPr>
          <w:rFonts w:ascii="Times New Roman" w:eastAsia="新宋体" w:hAnsi="新宋体" w:cs="Times New Roman" w:hint="eastAsia"/>
          <w:sz w:val="21"/>
          <w:szCs w:val="21"/>
        </w:rPr>
        <w:instrText xml:space="preserve">SEQ </w:instrText>
      </w:r>
      <w:r w:rsidRPr="00800D22">
        <w:rPr>
          <w:rFonts w:ascii="Times New Roman" w:eastAsia="新宋体" w:hAnsi="新宋体" w:cs="Times New Roman" w:hint="eastAsia"/>
          <w:sz w:val="21"/>
          <w:szCs w:val="21"/>
        </w:rPr>
        <w:instrText>附表</w:instrText>
      </w:r>
      <w:r w:rsidRPr="00800D22">
        <w:rPr>
          <w:rFonts w:ascii="Times New Roman" w:eastAsia="新宋体" w:hAnsi="新宋体" w:cs="Times New Roman" w:hint="eastAsia"/>
          <w:sz w:val="21"/>
          <w:szCs w:val="21"/>
        </w:rPr>
        <w:instrText xml:space="preserve"> \* ARABIC</w:instrText>
      </w:r>
      <w:r w:rsidRPr="00800D22">
        <w:rPr>
          <w:rFonts w:ascii="Times New Roman" w:eastAsia="新宋体" w:hAnsi="新宋体" w:cs="Times New Roman"/>
          <w:sz w:val="21"/>
          <w:szCs w:val="21"/>
        </w:rPr>
        <w:instrText xml:space="preserve"> </w:instrText>
      </w:r>
      <w:r w:rsidRPr="00800D22">
        <w:rPr>
          <w:rFonts w:ascii="Times New Roman" w:eastAsia="新宋体" w:hAnsi="新宋体" w:cs="Times New Roman"/>
          <w:sz w:val="21"/>
          <w:szCs w:val="21"/>
        </w:rPr>
        <w:fldChar w:fldCharType="separate"/>
      </w:r>
      <w:r w:rsidRPr="00800D22">
        <w:rPr>
          <w:rFonts w:ascii="Times New Roman" w:eastAsia="新宋体" w:hAnsi="新宋体" w:cs="Times New Roman"/>
          <w:sz w:val="21"/>
          <w:szCs w:val="21"/>
        </w:rPr>
        <w:t>2</w:t>
      </w:r>
      <w:r w:rsidRPr="00800D22">
        <w:rPr>
          <w:rFonts w:ascii="Times New Roman" w:eastAsia="新宋体" w:hAnsi="新宋体" w:cs="Times New Roman"/>
          <w:sz w:val="21"/>
          <w:szCs w:val="21"/>
        </w:rPr>
        <w:fldChar w:fldCharType="end"/>
      </w:r>
      <w:r w:rsidRPr="00800D22">
        <w:rPr>
          <w:rFonts w:ascii="Times New Roman" w:eastAsia="新宋体" w:hAnsi="新宋体" w:cs="Times New Roman" w:hint="eastAsia"/>
          <w:sz w:val="21"/>
          <w:szCs w:val="21"/>
        </w:rPr>
        <w:t xml:space="preserve">  </w:t>
      </w:r>
      <w:r w:rsidRPr="00800D22">
        <w:rPr>
          <w:rFonts w:ascii="Times New Roman" w:eastAsia="新宋体" w:hAnsi="新宋体" w:cs="Times New Roman" w:hint="eastAsia"/>
          <w:sz w:val="21"/>
          <w:szCs w:val="21"/>
        </w:rPr>
        <w:t>保监会从债券主体</w:t>
      </w:r>
      <w:proofErr w:type="gramStart"/>
      <w:r w:rsidRPr="00800D22">
        <w:rPr>
          <w:rFonts w:ascii="Times New Roman" w:eastAsia="新宋体" w:hAnsi="新宋体" w:cs="Times New Roman" w:hint="eastAsia"/>
          <w:sz w:val="21"/>
          <w:szCs w:val="21"/>
        </w:rPr>
        <w:t>级别和债项</w:t>
      </w:r>
      <w:proofErr w:type="gramEnd"/>
      <w:r w:rsidRPr="00800D22">
        <w:rPr>
          <w:rFonts w:ascii="Times New Roman" w:eastAsia="新宋体" w:hAnsi="新宋体" w:cs="Times New Roman" w:hint="eastAsia"/>
          <w:sz w:val="21"/>
          <w:szCs w:val="21"/>
        </w:rPr>
        <w:t>级别方面对保险公司投资债券的主要规定</w:t>
      </w:r>
      <w:bookmarkEnd w:id="2"/>
    </w:p>
    <w:p w14:paraId="7D90A8ED" w14:textId="2916AD94" w:rsidR="00307F5A" w:rsidRPr="00800D22" w:rsidRDefault="00307F5A" w:rsidP="00307F5A">
      <w:pPr>
        <w:jc w:val="center"/>
        <w:rPr>
          <w:szCs w:val="21"/>
        </w:rPr>
      </w:pPr>
      <w:r w:rsidRPr="00800D22">
        <w:rPr>
          <w:szCs w:val="21"/>
        </w:rPr>
        <w:t>table</w:t>
      </w:r>
      <w:r w:rsidRPr="00800D22">
        <w:rPr>
          <w:rFonts w:hint="eastAsia"/>
          <w:szCs w:val="21"/>
        </w:rPr>
        <w:t xml:space="preserve"> 2  </w:t>
      </w:r>
      <w:r w:rsidRPr="00800D22">
        <w:rPr>
          <w:szCs w:val="21"/>
        </w:rPr>
        <w:t>China Insurance Regulatory Commission</w:t>
      </w:r>
      <w:r w:rsidRPr="00800D22">
        <w:rPr>
          <w:rFonts w:hint="eastAsia"/>
          <w:szCs w:val="21"/>
        </w:rPr>
        <w:t xml:space="preserve"> P</w:t>
      </w:r>
      <w:r w:rsidRPr="00800D22">
        <w:rPr>
          <w:szCs w:val="21"/>
        </w:rPr>
        <w:t>rovisions of insurance</w:t>
      </w:r>
    </w:p>
    <w:p w14:paraId="31AD7DB1" w14:textId="77777777" w:rsidR="00307F5A" w:rsidRPr="00800D22" w:rsidRDefault="00307F5A" w:rsidP="00307F5A">
      <w:pPr>
        <w:jc w:val="center"/>
        <w:rPr>
          <w:szCs w:val="21"/>
        </w:rPr>
      </w:pPr>
      <w:r w:rsidRPr="00800D22">
        <w:rPr>
          <w:szCs w:val="21"/>
        </w:rPr>
        <w:t>companies to invest in bonds from corporate credit rating</w:t>
      </w:r>
      <w:r w:rsidRPr="00800D22">
        <w:rPr>
          <w:rFonts w:hint="eastAsia"/>
          <w:szCs w:val="21"/>
        </w:rPr>
        <w:t xml:space="preserve"> and debt credit rating</w:t>
      </w:r>
    </w:p>
    <w:tbl>
      <w:tblPr>
        <w:tblW w:w="5000" w:type="pct"/>
        <w:tblBorders>
          <w:top w:val="single" w:sz="4" w:space="0" w:color="auto"/>
          <w:bottom w:val="single" w:sz="4" w:space="0" w:color="auto"/>
        </w:tblBorders>
        <w:tblLook w:val="01E0" w:firstRow="1" w:lastRow="1" w:firstColumn="1" w:lastColumn="1" w:noHBand="0" w:noVBand="0"/>
      </w:tblPr>
      <w:tblGrid>
        <w:gridCol w:w="1548"/>
        <w:gridCol w:w="6974"/>
      </w:tblGrid>
      <w:tr w:rsidR="00307F5A" w:rsidRPr="00800D22" w14:paraId="20830991" w14:textId="77777777" w:rsidTr="00573A00">
        <w:tc>
          <w:tcPr>
            <w:tcW w:w="908" w:type="pct"/>
            <w:tcBorders>
              <w:top w:val="single" w:sz="4" w:space="0" w:color="auto"/>
              <w:bottom w:val="single" w:sz="4" w:space="0" w:color="auto"/>
            </w:tcBorders>
            <w:vAlign w:val="center"/>
          </w:tcPr>
          <w:p w14:paraId="67BBB0DC" w14:textId="77777777" w:rsidR="00307F5A" w:rsidRPr="00800D22" w:rsidRDefault="00307F5A" w:rsidP="00573A00">
            <w:pPr>
              <w:spacing w:line="360" w:lineRule="exact"/>
            </w:pPr>
            <w:r w:rsidRPr="00800D22">
              <w:rPr>
                <w:rFonts w:hint="eastAsia"/>
              </w:rPr>
              <w:t>债券类型</w:t>
            </w:r>
          </w:p>
        </w:tc>
        <w:tc>
          <w:tcPr>
            <w:tcW w:w="4092" w:type="pct"/>
            <w:tcBorders>
              <w:top w:val="single" w:sz="4" w:space="0" w:color="auto"/>
              <w:bottom w:val="single" w:sz="4" w:space="0" w:color="auto"/>
            </w:tcBorders>
            <w:vAlign w:val="center"/>
          </w:tcPr>
          <w:p w14:paraId="267CE5A7" w14:textId="77777777" w:rsidR="00307F5A" w:rsidRPr="00800D22" w:rsidRDefault="00307F5A" w:rsidP="00573A00">
            <w:pPr>
              <w:spacing w:line="360" w:lineRule="exact"/>
            </w:pPr>
            <w:r w:rsidRPr="00800D22">
              <w:rPr>
                <w:rFonts w:hint="eastAsia"/>
              </w:rPr>
              <w:t>主体</w:t>
            </w:r>
            <w:proofErr w:type="gramStart"/>
            <w:r w:rsidRPr="00800D22">
              <w:rPr>
                <w:rFonts w:hint="eastAsia"/>
              </w:rPr>
              <w:t>级别和债项</w:t>
            </w:r>
            <w:proofErr w:type="gramEnd"/>
            <w:r w:rsidRPr="00800D22">
              <w:rPr>
                <w:rFonts w:hint="eastAsia"/>
              </w:rPr>
              <w:t>级别的要求</w:t>
            </w:r>
          </w:p>
        </w:tc>
      </w:tr>
      <w:tr w:rsidR="00307F5A" w:rsidRPr="00800D22" w14:paraId="2592EE47" w14:textId="77777777" w:rsidTr="00573A00">
        <w:tc>
          <w:tcPr>
            <w:tcW w:w="908" w:type="pct"/>
            <w:tcBorders>
              <w:top w:val="single" w:sz="4" w:space="0" w:color="auto"/>
            </w:tcBorders>
            <w:vAlign w:val="center"/>
          </w:tcPr>
          <w:p w14:paraId="5E12C79B" w14:textId="77777777" w:rsidR="00307F5A" w:rsidRPr="00800D22" w:rsidRDefault="00307F5A" w:rsidP="00573A00">
            <w:pPr>
              <w:adjustRightInd w:val="0"/>
              <w:snapToGrid w:val="0"/>
              <w:spacing w:line="360" w:lineRule="exact"/>
              <w:rPr>
                <w:sz w:val="18"/>
                <w:szCs w:val="18"/>
              </w:rPr>
            </w:pPr>
            <w:r w:rsidRPr="00800D22">
              <w:rPr>
                <w:rFonts w:hint="eastAsia"/>
                <w:sz w:val="18"/>
                <w:szCs w:val="18"/>
              </w:rPr>
              <w:t>金融债</w:t>
            </w:r>
          </w:p>
        </w:tc>
        <w:tc>
          <w:tcPr>
            <w:tcW w:w="4092" w:type="pct"/>
            <w:tcBorders>
              <w:top w:val="single" w:sz="4" w:space="0" w:color="auto"/>
            </w:tcBorders>
            <w:vAlign w:val="center"/>
          </w:tcPr>
          <w:p w14:paraId="11806D89" w14:textId="77777777" w:rsidR="00307F5A" w:rsidRPr="00800D22" w:rsidRDefault="00307F5A" w:rsidP="00573A00">
            <w:pPr>
              <w:adjustRightInd w:val="0"/>
              <w:snapToGrid w:val="0"/>
              <w:spacing w:line="360" w:lineRule="exact"/>
              <w:rPr>
                <w:sz w:val="18"/>
                <w:szCs w:val="18"/>
              </w:rPr>
            </w:pPr>
            <w:r w:rsidRPr="00800D22">
              <w:rPr>
                <w:rFonts w:hint="eastAsia"/>
                <w:sz w:val="18"/>
                <w:szCs w:val="18"/>
              </w:rPr>
              <w:t>国内信用评级机构评定的长期信用级别不低于</w:t>
            </w:r>
            <w:r w:rsidRPr="00800D22">
              <w:rPr>
                <w:rFonts w:hint="eastAsia"/>
                <w:sz w:val="18"/>
                <w:szCs w:val="18"/>
              </w:rPr>
              <w:t>A</w:t>
            </w:r>
            <w:r w:rsidRPr="00800D22">
              <w:rPr>
                <w:rFonts w:hint="eastAsia"/>
                <w:sz w:val="18"/>
                <w:szCs w:val="18"/>
              </w:rPr>
              <w:t>级；</w:t>
            </w:r>
          </w:p>
          <w:p w14:paraId="06F6EDA6" w14:textId="77777777" w:rsidR="00307F5A" w:rsidRPr="00800D22" w:rsidRDefault="00307F5A" w:rsidP="00573A00">
            <w:pPr>
              <w:adjustRightInd w:val="0"/>
              <w:snapToGrid w:val="0"/>
              <w:spacing w:line="360" w:lineRule="exact"/>
              <w:rPr>
                <w:sz w:val="18"/>
                <w:szCs w:val="18"/>
              </w:rPr>
            </w:pPr>
            <w:r w:rsidRPr="00800D22">
              <w:rPr>
                <w:rFonts w:hint="eastAsia"/>
                <w:sz w:val="18"/>
                <w:szCs w:val="18"/>
              </w:rPr>
              <w:t>境外上市并免于国内信用评级的，国际信用评级机构评定长期信用级别不低于</w:t>
            </w:r>
            <w:r w:rsidRPr="00800D22">
              <w:rPr>
                <w:rFonts w:hint="eastAsia"/>
                <w:sz w:val="18"/>
                <w:szCs w:val="18"/>
              </w:rPr>
              <w:t>BB</w:t>
            </w:r>
            <w:r w:rsidRPr="00800D22">
              <w:rPr>
                <w:rFonts w:hint="eastAsia"/>
                <w:sz w:val="18"/>
                <w:szCs w:val="18"/>
              </w:rPr>
              <w:t>级；</w:t>
            </w:r>
          </w:p>
          <w:p w14:paraId="4A07BAB8" w14:textId="77777777" w:rsidR="00307F5A" w:rsidRPr="00800D22" w:rsidRDefault="00307F5A" w:rsidP="00573A00">
            <w:pPr>
              <w:adjustRightInd w:val="0"/>
              <w:snapToGrid w:val="0"/>
              <w:spacing w:line="360" w:lineRule="exact"/>
              <w:rPr>
                <w:sz w:val="18"/>
                <w:szCs w:val="18"/>
              </w:rPr>
            </w:pPr>
            <w:r w:rsidRPr="00800D22">
              <w:rPr>
                <w:rFonts w:hint="eastAsia"/>
                <w:sz w:val="18"/>
                <w:szCs w:val="18"/>
              </w:rPr>
              <w:t>投资具有担保的金融债券和次级债券，担保人的资信不得低于发行人的信用级别。</w:t>
            </w:r>
          </w:p>
        </w:tc>
      </w:tr>
      <w:tr w:rsidR="00307F5A" w:rsidRPr="00800D22" w14:paraId="33F3E461" w14:textId="77777777" w:rsidTr="00573A00">
        <w:tc>
          <w:tcPr>
            <w:tcW w:w="908" w:type="pct"/>
            <w:vAlign w:val="center"/>
          </w:tcPr>
          <w:p w14:paraId="10CBCD92" w14:textId="77777777" w:rsidR="00307F5A" w:rsidRPr="00800D22" w:rsidRDefault="00307F5A" w:rsidP="00573A00">
            <w:pPr>
              <w:adjustRightInd w:val="0"/>
              <w:snapToGrid w:val="0"/>
              <w:spacing w:line="360" w:lineRule="exact"/>
              <w:rPr>
                <w:sz w:val="18"/>
                <w:szCs w:val="18"/>
              </w:rPr>
            </w:pPr>
            <w:r w:rsidRPr="00800D22">
              <w:rPr>
                <w:rFonts w:hint="eastAsia"/>
                <w:sz w:val="18"/>
                <w:szCs w:val="18"/>
              </w:rPr>
              <w:t>企业（公司）债</w:t>
            </w:r>
          </w:p>
        </w:tc>
        <w:tc>
          <w:tcPr>
            <w:tcW w:w="4092" w:type="pct"/>
            <w:vAlign w:val="center"/>
          </w:tcPr>
          <w:p w14:paraId="759A2138" w14:textId="77777777" w:rsidR="00307F5A" w:rsidRPr="00800D22" w:rsidRDefault="00307F5A" w:rsidP="00573A00">
            <w:pPr>
              <w:adjustRightInd w:val="0"/>
              <w:snapToGrid w:val="0"/>
              <w:spacing w:line="360" w:lineRule="exact"/>
              <w:rPr>
                <w:sz w:val="18"/>
                <w:szCs w:val="18"/>
              </w:rPr>
            </w:pPr>
            <w:r w:rsidRPr="00800D22">
              <w:rPr>
                <w:sz w:val="18"/>
                <w:szCs w:val="18"/>
              </w:rPr>
              <w:t>担保人的资信</w:t>
            </w:r>
            <w:r w:rsidRPr="00800D22">
              <w:rPr>
                <w:rFonts w:hint="eastAsia"/>
                <w:sz w:val="18"/>
                <w:szCs w:val="18"/>
              </w:rPr>
              <w:t>不得</w:t>
            </w:r>
            <w:r w:rsidRPr="00800D22">
              <w:rPr>
                <w:sz w:val="18"/>
                <w:szCs w:val="18"/>
              </w:rPr>
              <w:t>低于发行人的信用级别</w:t>
            </w:r>
            <w:r w:rsidRPr="00800D22">
              <w:rPr>
                <w:rFonts w:hint="eastAsia"/>
                <w:sz w:val="18"/>
                <w:szCs w:val="18"/>
              </w:rPr>
              <w:t>；</w:t>
            </w:r>
          </w:p>
          <w:p w14:paraId="34F9509D" w14:textId="77777777" w:rsidR="00307F5A" w:rsidRPr="00800D22" w:rsidRDefault="00307F5A" w:rsidP="00573A00">
            <w:pPr>
              <w:adjustRightInd w:val="0"/>
              <w:snapToGrid w:val="0"/>
              <w:spacing w:line="360" w:lineRule="exact"/>
              <w:rPr>
                <w:sz w:val="18"/>
                <w:szCs w:val="18"/>
              </w:rPr>
            </w:pPr>
            <w:r w:rsidRPr="00800D22">
              <w:rPr>
                <w:sz w:val="18"/>
                <w:szCs w:val="18"/>
              </w:rPr>
              <w:t>国内信用评级机构评定</w:t>
            </w:r>
            <w:r w:rsidRPr="00800D22">
              <w:rPr>
                <w:rFonts w:hint="eastAsia"/>
                <w:sz w:val="18"/>
                <w:szCs w:val="18"/>
              </w:rPr>
              <w:t>的级别不</w:t>
            </w:r>
            <w:r w:rsidRPr="00800D22">
              <w:rPr>
                <w:sz w:val="18"/>
                <w:szCs w:val="18"/>
              </w:rPr>
              <w:t>低于</w:t>
            </w:r>
            <w:r w:rsidRPr="00800D22">
              <w:rPr>
                <w:sz w:val="18"/>
                <w:szCs w:val="18"/>
              </w:rPr>
              <w:t>AA</w:t>
            </w:r>
            <w:r w:rsidRPr="00800D22">
              <w:rPr>
                <w:sz w:val="18"/>
                <w:szCs w:val="18"/>
              </w:rPr>
              <w:t>级</w:t>
            </w:r>
            <w:r w:rsidRPr="00800D22">
              <w:rPr>
                <w:rFonts w:hint="eastAsia"/>
                <w:sz w:val="18"/>
                <w:szCs w:val="18"/>
              </w:rPr>
              <w:t>；</w:t>
            </w:r>
          </w:p>
          <w:p w14:paraId="5B9666D5" w14:textId="77777777" w:rsidR="00307F5A" w:rsidRPr="00800D22" w:rsidRDefault="00307F5A" w:rsidP="00573A00">
            <w:pPr>
              <w:adjustRightInd w:val="0"/>
              <w:snapToGrid w:val="0"/>
              <w:spacing w:line="360" w:lineRule="exact"/>
              <w:rPr>
                <w:sz w:val="18"/>
                <w:szCs w:val="18"/>
              </w:rPr>
            </w:pPr>
            <w:r w:rsidRPr="00800D22">
              <w:rPr>
                <w:sz w:val="18"/>
                <w:szCs w:val="18"/>
              </w:rPr>
              <w:t>保监会认可的国内评级机构评级的企业债券</w:t>
            </w:r>
            <w:r w:rsidRPr="00800D22">
              <w:rPr>
                <w:rFonts w:hint="eastAsia"/>
                <w:sz w:val="18"/>
                <w:szCs w:val="18"/>
              </w:rPr>
              <w:t>。</w:t>
            </w:r>
          </w:p>
        </w:tc>
      </w:tr>
      <w:tr w:rsidR="00307F5A" w:rsidRPr="00800D22" w14:paraId="015FDA22" w14:textId="77777777" w:rsidTr="00573A00">
        <w:tc>
          <w:tcPr>
            <w:tcW w:w="908" w:type="pct"/>
            <w:vAlign w:val="center"/>
          </w:tcPr>
          <w:p w14:paraId="2E8D1F67" w14:textId="77777777" w:rsidR="00307F5A" w:rsidRPr="00800D22" w:rsidRDefault="00307F5A" w:rsidP="00573A00">
            <w:pPr>
              <w:adjustRightInd w:val="0"/>
              <w:snapToGrid w:val="0"/>
              <w:spacing w:line="360" w:lineRule="exact"/>
              <w:rPr>
                <w:sz w:val="18"/>
                <w:szCs w:val="18"/>
              </w:rPr>
            </w:pPr>
            <w:r w:rsidRPr="00800D22">
              <w:rPr>
                <w:rFonts w:hint="eastAsia"/>
                <w:sz w:val="18"/>
                <w:szCs w:val="18"/>
              </w:rPr>
              <w:t>可转债</w:t>
            </w:r>
          </w:p>
        </w:tc>
        <w:tc>
          <w:tcPr>
            <w:tcW w:w="4092" w:type="pct"/>
            <w:vAlign w:val="center"/>
          </w:tcPr>
          <w:p w14:paraId="76FA74CD" w14:textId="77777777" w:rsidR="00307F5A" w:rsidRPr="00800D22" w:rsidRDefault="00307F5A" w:rsidP="00573A00">
            <w:pPr>
              <w:adjustRightInd w:val="0"/>
              <w:snapToGrid w:val="0"/>
              <w:spacing w:line="360" w:lineRule="exact"/>
              <w:rPr>
                <w:sz w:val="18"/>
                <w:szCs w:val="18"/>
              </w:rPr>
            </w:pPr>
            <w:r w:rsidRPr="00800D22">
              <w:rPr>
                <w:rFonts w:hint="eastAsia"/>
                <w:sz w:val="18"/>
                <w:szCs w:val="18"/>
              </w:rPr>
              <w:t>担保人的资信不得低于债券发行人的信用级别。</w:t>
            </w:r>
          </w:p>
        </w:tc>
      </w:tr>
      <w:tr w:rsidR="00307F5A" w:rsidRPr="00800D22" w14:paraId="44E18AFC" w14:textId="77777777" w:rsidTr="00573A00">
        <w:tc>
          <w:tcPr>
            <w:tcW w:w="908" w:type="pct"/>
            <w:vAlign w:val="center"/>
          </w:tcPr>
          <w:p w14:paraId="553FEEFE" w14:textId="77777777" w:rsidR="00307F5A" w:rsidRPr="00800D22" w:rsidRDefault="00307F5A" w:rsidP="00573A00">
            <w:pPr>
              <w:adjustRightInd w:val="0"/>
              <w:snapToGrid w:val="0"/>
              <w:spacing w:line="360" w:lineRule="exact"/>
              <w:rPr>
                <w:sz w:val="18"/>
                <w:szCs w:val="18"/>
              </w:rPr>
            </w:pPr>
            <w:r w:rsidRPr="00800D22">
              <w:rPr>
                <w:rFonts w:hint="eastAsia"/>
                <w:sz w:val="18"/>
                <w:szCs w:val="18"/>
              </w:rPr>
              <w:t>短期融资</w:t>
            </w:r>
            <w:proofErr w:type="gramStart"/>
            <w:r w:rsidRPr="00800D22">
              <w:rPr>
                <w:rFonts w:hint="eastAsia"/>
                <w:sz w:val="18"/>
                <w:szCs w:val="18"/>
              </w:rPr>
              <w:t>券</w:t>
            </w:r>
            <w:proofErr w:type="gramEnd"/>
          </w:p>
        </w:tc>
        <w:tc>
          <w:tcPr>
            <w:tcW w:w="4092" w:type="pct"/>
            <w:vAlign w:val="center"/>
          </w:tcPr>
          <w:p w14:paraId="10C0594C" w14:textId="77777777" w:rsidR="00307F5A" w:rsidRPr="00800D22" w:rsidRDefault="00307F5A" w:rsidP="00573A00">
            <w:pPr>
              <w:adjustRightInd w:val="0"/>
              <w:snapToGrid w:val="0"/>
              <w:spacing w:line="360" w:lineRule="exact"/>
              <w:rPr>
                <w:rFonts w:hAnsi="???" w:hint="eastAsia"/>
                <w:kern w:val="0"/>
                <w:sz w:val="18"/>
                <w:szCs w:val="18"/>
              </w:rPr>
            </w:pPr>
            <w:r w:rsidRPr="00800D22">
              <w:rPr>
                <w:rFonts w:hAnsi="???" w:hint="eastAsia"/>
                <w:kern w:val="0"/>
                <w:sz w:val="18"/>
                <w:szCs w:val="18"/>
              </w:rPr>
              <w:t>国内信用评级机构评定的债项级别不低于</w:t>
            </w:r>
            <w:r w:rsidRPr="00800D22">
              <w:rPr>
                <w:rFonts w:hAnsi="???" w:hint="eastAsia"/>
                <w:kern w:val="0"/>
                <w:sz w:val="18"/>
                <w:szCs w:val="18"/>
              </w:rPr>
              <w:t>A-1</w:t>
            </w:r>
            <w:r w:rsidRPr="00800D22">
              <w:rPr>
                <w:rFonts w:hAnsi="???" w:hint="eastAsia"/>
                <w:kern w:val="0"/>
                <w:sz w:val="18"/>
                <w:szCs w:val="18"/>
              </w:rPr>
              <w:t>；</w:t>
            </w:r>
          </w:p>
          <w:p w14:paraId="3E2E8171" w14:textId="77777777" w:rsidR="00307F5A" w:rsidRPr="00800D22" w:rsidRDefault="00307F5A" w:rsidP="00573A00">
            <w:pPr>
              <w:adjustRightInd w:val="0"/>
              <w:snapToGrid w:val="0"/>
              <w:spacing w:line="360" w:lineRule="exact"/>
              <w:rPr>
                <w:rFonts w:hAnsi="???" w:hint="eastAsia"/>
                <w:kern w:val="0"/>
                <w:sz w:val="18"/>
                <w:szCs w:val="18"/>
              </w:rPr>
            </w:pPr>
            <w:r w:rsidRPr="00800D22">
              <w:rPr>
                <w:rFonts w:hAnsi="???" w:hint="eastAsia"/>
                <w:kern w:val="0"/>
                <w:sz w:val="18"/>
                <w:szCs w:val="18"/>
              </w:rPr>
              <w:t>保监会认可的国内评级机构评级的短期融资</w:t>
            </w:r>
            <w:proofErr w:type="gramStart"/>
            <w:r w:rsidRPr="00800D22">
              <w:rPr>
                <w:rFonts w:hAnsi="???" w:hint="eastAsia"/>
                <w:kern w:val="0"/>
                <w:sz w:val="18"/>
                <w:szCs w:val="18"/>
              </w:rPr>
              <w:t>券</w:t>
            </w:r>
            <w:proofErr w:type="gramEnd"/>
            <w:r w:rsidRPr="00800D22">
              <w:rPr>
                <w:rFonts w:hAnsi="???" w:hint="eastAsia"/>
                <w:kern w:val="0"/>
                <w:sz w:val="18"/>
                <w:szCs w:val="18"/>
              </w:rPr>
              <w:t>；</w:t>
            </w:r>
          </w:p>
          <w:p w14:paraId="192894CF" w14:textId="77777777" w:rsidR="00307F5A" w:rsidRPr="00800D22" w:rsidRDefault="00307F5A" w:rsidP="00573A00">
            <w:pPr>
              <w:adjustRightInd w:val="0"/>
              <w:snapToGrid w:val="0"/>
              <w:spacing w:line="360" w:lineRule="exact"/>
              <w:rPr>
                <w:rFonts w:hAnsi="???" w:hint="eastAsia"/>
                <w:kern w:val="0"/>
                <w:sz w:val="18"/>
                <w:szCs w:val="18"/>
              </w:rPr>
            </w:pPr>
            <w:r w:rsidRPr="00800D22">
              <w:rPr>
                <w:rFonts w:hAnsi="???" w:hint="eastAsia"/>
                <w:kern w:val="0"/>
                <w:sz w:val="18"/>
                <w:szCs w:val="18"/>
              </w:rPr>
              <w:t>发行人主体信用级别不低于</w:t>
            </w:r>
            <w:r w:rsidRPr="00800D22">
              <w:rPr>
                <w:rFonts w:hAnsi="???" w:hint="eastAsia"/>
                <w:kern w:val="0"/>
                <w:sz w:val="18"/>
                <w:szCs w:val="18"/>
              </w:rPr>
              <w:t>AA</w:t>
            </w:r>
            <w:r w:rsidRPr="00800D22">
              <w:rPr>
                <w:rFonts w:hAnsi="???" w:hint="eastAsia"/>
                <w:kern w:val="0"/>
                <w:sz w:val="18"/>
                <w:szCs w:val="18"/>
              </w:rPr>
              <w:t>级。</w:t>
            </w:r>
          </w:p>
        </w:tc>
      </w:tr>
    </w:tbl>
    <w:p w14:paraId="1B9DD1D2" w14:textId="77777777" w:rsidR="00307F5A" w:rsidRPr="00800D22" w:rsidRDefault="00307F5A" w:rsidP="00307F5A">
      <w:pPr>
        <w:adjustRightInd w:val="0"/>
        <w:snapToGrid w:val="0"/>
        <w:spacing w:afterLines="100" w:after="312"/>
        <w:rPr>
          <w:sz w:val="18"/>
          <w:szCs w:val="18"/>
        </w:rPr>
      </w:pPr>
      <w:r w:rsidRPr="00800D22">
        <w:rPr>
          <w:rFonts w:hint="eastAsia"/>
          <w:sz w:val="18"/>
          <w:szCs w:val="18"/>
        </w:rPr>
        <w:t>注：《办法》中对企业（公司）债券债项级别的</w:t>
      </w:r>
      <w:r w:rsidRPr="00800D22">
        <w:rPr>
          <w:rFonts w:hint="eastAsia"/>
          <w:sz w:val="18"/>
          <w:szCs w:val="18"/>
        </w:rPr>
        <w:t>AA</w:t>
      </w:r>
      <w:r w:rsidRPr="00800D22">
        <w:rPr>
          <w:rFonts w:hint="eastAsia"/>
          <w:sz w:val="18"/>
          <w:szCs w:val="18"/>
        </w:rPr>
        <w:t>级和短</w:t>
      </w:r>
      <w:proofErr w:type="gramStart"/>
      <w:r w:rsidRPr="00800D22">
        <w:rPr>
          <w:rFonts w:hint="eastAsia"/>
          <w:sz w:val="18"/>
          <w:szCs w:val="18"/>
        </w:rPr>
        <w:t>券</w:t>
      </w:r>
      <w:proofErr w:type="gramEnd"/>
      <w:r w:rsidRPr="00800D22">
        <w:rPr>
          <w:rFonts w:hint="eastAsia"/>
          <w:sz w:val="18"/>
          <w:szCs w:val="18"/>
        </w:rPr>
        <w:t>主体级别的</w:t>
      </w:r>
      <w:r w:rsidRPr="00800D22">
        <w:rPr>
          <w:rFonts w:hint="eastAsia"/>
          <w:sz w:val="18"/>
          <w:szCs w:val="18"/>
        </w:rPr>
        <w:t>AA</w:t>
      </w:r>
      <w:proofErr w:type="gramStart"/>
      <w:r w:rsidRPr="00800D22">
        <w:rPr>
          <w:rFonts w:hint="eastAsia"/>
          <w:sz w:val="18"/>
          <w:szCs w:val="18"/>
        </w:rPr>
        <w:t>级是否</w:t>
      </w:r>
      <w:proofErr w:type="gramEnd"/>
      <w:r w:rsidRPr="00800D22">
        <w:rPr>
          <w:rFonts w:hint="eastAsia"/>
          <w:sz w:val="18"/>
          <w:szCs w:val="18"/>
        </w:rPr>
        <w:t>包含</w:t>
      </w:r>
      <w:r w:rsidRPr="00800D22">
        <w:rPr>
          <w:rFonts w:hint="eastAsia"/>
          <w:sz w:val="18"/>
          <w:szCs w:val="18"/>
        </w:rPr>
        <w:t>AA-</w:t>
      </w:r>
      <w:r w:rsidRPr="00800D22">
        <w:rPr>
          <w:rFonts w:hint="eastAsia"/>
          <w:sz w:val="18"/>
          <w:szCs w:val="18"/>
        </w:rPr>
        <w:t>的级别未做出特别说明。在实际操作过程中，保险公司可以购买债项级别为</w:t>
      </w:r>
      <w:r w:rsidRPr="00800D22">
        <w:rPr>
          <w:rFonts w:hint="eastAsia"/>
          <w:sz w:val="18"/>
          <w:szCs w:val="18"/>
        </w:rPr>
        <w:t>AA-</w:t>
      </w:r>
      <w:r w:rsidRPr="00800D22">
        <w:rPr>
          <w:rFonts w:hint="eastAsia"/>
          <w:sz w:val="18"/>
          <w:szCs w:val="18"/>
        </w:rPr>
        <w:t>的企业（公司）债券，不可以购买主体级别为</w:t>
      </w:r>
      <w:r w:rsidRPr="00800D22">
        <w:rPr>
          <w:rFonts w:hint="eastAsia"/>
          <w:sz w:val="18"/>
          <w:szCs w:val="18"/>
        </w:rPr>
        <w:t>AA-</w:t>
      </w:r>
      <w:r w:rsidRPr="00800D22">
        <w:rPr>
          <w:rFonts w:hint="eastAsia"/>
          <w:sz w:val="18"/>
          <w:szCs w:val="18"/>
        </w:rPr>
        <w:t>的短</w:t>
      </w:r>
      <w:proofErr w:type="gramStart"/>
      <w:r w:rsidRPr="00800D22">
        <w:rPr>
          <w:rFonts w:hint="eastAsia"/>
          <w:sz w:val="18"/>
          <w:szCs w:val="18"/>
        </w:rPr>
        <w:t>券</w:t>
      </w:r>
      <w:proofErr w:type="gramEnd"/>
      <w:r w:rsidRPr="00800D22">
        <w:rPr>
          <w:rFonts w:hint="eastAsia"/>
          <w:sz w:val="18"/>
          <w:szCs w:val="18"/>
        </w:rPr>
        <w:t>。</w:t>
      </w:r>
    </w:p>
    <w:p w14:paraId="10872AD3" w14:textId="77777777" w:rsidR="00307F5A" w:rsidRPr="00800D22" w:rsidRDefault="00307F5A" w:rsidP="00307F5A">
      <w:pPr>
        <w:adjustRightInd w:val="0"/>
        <w:snapToGrid w:val="0"/>
        <w:spacing w:line="440" w:lineRule="exact"/>
        <w:ind w:firstLineChars="200" w:firstLine="420"/>
        <w:rPr>
          <w:szCs w:val="21"/>
        </w:rPr>
      </w:pPr>
      <w:r w:rsidRPr="00800D22">
        <w:rPr>
          <w:szCs w:val="21"/>
        </w:rPr>
        <w:t>债券投资风险远低于股票投资风险，债券投资的主要风险来自发行人到期无法偿还本息的信用风险。发行人的资产规模、盈利能力、债务结构</w:t>
      </w:r>
      <w:r w:rsidRPr="00800D22">
        <w:rPr>
          <w:rFonts w:hint="eastAsia"/>
          <w:szCs w:val="21"/>
        </w:rPr>
        <w:t>、债券增信措施</w:t>
      </w:r>
      <w:r w:rsidRPr="00800D22">
        <w:rPr>
          <w:szCs w:val="21"/>
        </w:rPr>
        <w:t>不尽相同，各债券的信用风险也有所差别。</w:t>
      </w:r>
      <w:r w:rsidRPr="00800D22">
        <w:rPr>
          <w:rFonts w:hint="eastAsia"/>
          <w:szCs w:val="21"/>
        </w:rPr>
        <w:t>债券的</w:t>
      </w:r>
      <w:r w:rsidRPr="00800D22">
        <w:rPr>
          <w:szCs w:val="21"/>
        </w:rPr>
        <w:t>信用风险主要通过</w:t>
      </w:r>
      <w:r w:rsidRPr="00800D22">
        <w:rPr>
          <w:rFonts w:hint="eastAsia"/>
          <w:szCs w:val="21"/>
        </w:rPr>
        <w:t>国内外评级机构</w:t>
      </w:r>
      <w:r w:rsidRPr="00800D22">
        <w:rPr>
          <w:szCs w:val="21"/>
        </w:rPr>
        <w:t>所评估的发行人主体</w:t>
      </w:r>
      <w:proofErr w:type="gramStart"/>
      <w:r w:rsidRPr="00800D22">
        <w:rPr>
          <w:szCs w:val="21"/>
        </w:rPr>
        <w:t>级别和债项</w:t>
      </w:r>
      <w:proofErr w:type="gramEnd"/>
      <w:r w:rsidRPr="00800D22">
        <w:rPr>
          <w:szCs w:val="21"/>
        </w:rPr>
        <w:t>级别来反映。为控制保险机构投资债券的信用风险，保监会一直对符合保险公司购买条件的债券发行人</w:t>
      </w:r>
      <w:r w:rsidRPr="00800D22">
        <w:rPr>
          <w:rFonts w:hint="eastAsia"/>
          <w:szCs w:val="21"/>
        </w:rPr>
        <w:t>主体</w:t>
      </w:r>
      <w:proofErr w:type="gramStart"/>
      <w:r w:rsidRPr="00800D22">
        <w:rPr>
          <w:rFonts w:hint="eastAsia"/>
          <w:szCs w:val="21"/>
        </w:rPr>
        <w:t>级别和债项</w:t>
      </w:r>
      <w:proofErr w:type="gramEnd"/>
      <w:r w:rsidRPr="00800D22">
        <w:rPr>
          <w:rFonts w:hint="eastAsia"/>
          <w:szCs w:val="21"/>
        </w:rPr>
        <w:t>级别</w:t>
      </w:r>
      <w:proofErr w:type="gramStart"/>
      <w:r w:rsidRPr="00800D22">
        <w:rPr>
          <w:rFonts w:hint="eastAsia"/>
          <w:szCs w:val="21"/>
        </w:rPr>
        <w:t>作出</w:t>
      </w:r>
      <w:proofErr w:type="gramEnd"/>
      <w:r w:rsidRPr="00800D22">
        <w:rPr>
          <w:rFonts w:hint="eastAsia"/>
          <w:szCs w:val="21"/>
        </w:rPr>
        <w:t>严格</w:t>
      </w:r>
      <w:r w:rsidRPr="00800D22">
        <w:rPr>
          <w:szCs w:val="21"/>
        </w:rPr>
        <w:t>限制，自《办法》发布至今保监会并</w:t>
      </w:r>
      <w:r w:rsidRPr="00800D22">
        <w:rPr>
          <w:rFonts w:hint="eastAsia"/>
          <w:szCs w:val="21"/>
        </w:rPr>
        <w:t>未</w:t>
      </w:r>
      <w:r w:rsidRPr="00800D22">
        <w:rPr>
          <w:szCs w:val="21"/>
        </w:rPr>
        <w:t>放宽符合保险公司</w:t>
      </w:r>
      <w:r w:rsidRPr="00800D22">
        <w:rPr>
          <w:rFonts w:hint="eastAsia"/>
          <w:szCs w:val="21"/>
        </w:rPr>
        <w:t>所投资债券的主体</w:t>
      </w:r>
      <w:proofErr w:type="gramStart"/>
      <w:r w:rsidRPr="00800D22">
        <w:rPr>
          <w:rFonts w:hint="eastAsia"/>
          <w:szCs w:val="21"/>
        </w:rPr>
        <w:t>级别和债项</w:t>
      </w:r>
      <w:proofErr w:type="gramEnd"/>
      <w:r w:rsidRPr="00800D22">
        <w:rPr>
          <w:rFonts w:hint="eastAsia"/>
          <w:szCs w:val="21"/>
        </w:rPr>
        <w:t>级别</w:t>
      </w:r>
      <w:r w:rsidRPr="00800D22">
        <w:rPr>
          <w:szCs w:val="21"/>
        </w:rPr>
        <w:t>要求。</w:t>
      </w:r>
    </w:p>
    <w:p w14:paraId="2C82A9B5" w14:textId="77777777" w:rsidR="00307F5A" w:rsidRPr="00800D22" w:rsidRDefault="00307F5A" w:rsidP="00307F5A">
      <w:pPr>
        <w:spacing w:line="440" w:lineRule="exact"/>
        <w:ind w:firstLineChars="200" w:firstLine="420"/>
        <w:rPr>
          <w:szCs w:val="21"/>
        </w:rPr>
      </w:pPr>
      <w:r w:rsidRPr="00800D22">
        <w:rPr>
          <w:rFonts w:hint="eastAsia"/>
          <w:szCs w:val="21"/>
        </w:rPr>
        <w:t>保监会对符合保险公司投资条件的债券发行人主体</w:t>
      </w:r>
      <w:proofErr w:type="gramStart"/>
      <w:r w:rsidRPr="00800D22">
        <w:rPr>
          <w:rFonts w:hint="eastAsia"/>
          <w:szCs w:val="21"/>
        </w:rPr>
        <w:t>级别和债项</w:t>
      </w:r>
      <w:proofErr w:type="gramEnd"/>
      <w:r w:rsidRPr="00800D22">
        <w:rPr>
          <w:rFonts w:hint="eastAsia"/>
          <w:szCs w:val="21"/>
        </w:rPr>
        <w:t>级别的限制，一方面减少了保险公司债券投资的信用风险，另一方面导致了两类债券市场（主体</w:t>
      </w:r>
      <w:proofErr w:type="gramStart"/>
      <w:r w:rsidRPr="00800D22">
        <w:rPr>
          <w:rFonts w:hint="eastAsia"/>
          <w:szCs w:val="21"/>
        </w:rPr>
        <w:t>级别和债项</w:t>
      </w:r>
      <w:proofErr w:type="gramEnd"/>
      <w:r w:rsidRPr="00800D22">
        <w:rPr>
          <w:rFonts w:hint="eastAsia"/>
          <w:szCs w:val="21"/>
        </w:rPr>
        <w:t>级别符合保险公司投资条件和不符合保险公司投资条件的两类债券市场）的市场参与者有所不同，保险公司能否投资可能影响到两类债券的市场流动性水平。</w:t>
      </w:r>
    </w:p>
    <w:p w14:paraId="2BB5626A" w14:textId="77777777" w:rsidR="00307F5A" w:rsidRPr="00800D22" w:rsidRDefault="00307F5A" w:rsidP="00307F5A">
      <w:pPr>
        <w:spacing w:beforeLines="100" w:before="312" w:afterLines="100" w:after="312" w:line="440" w:lineRule="exact"/>
        <w:jc w:val="center"/>
        <w:rPr>
          <w:b/>
          <w:sz w:val="24"/>
        </w:rPr>
      </w:pPr>
      <w:r w:rsidRPr="00800D22">
        <w:rPr>
          <w:rFonts w:hint="eastAsia"/>
          <w:b/>
          <w:sz w:val="24"/>
        </w:rPr>
        <w:t>二、投资者类型多元化对债券市场流动性影响的理论分析</w:t>
      </w:r>
    </w:p>
    <w:p w14:paraId="688D584B" w14:textId="77777777" w:rsidR="00307F5A" w:rsidRPr="00800D22" w:rsidRDefault="00307F5A" w:rsidP="00307F5A">
      <w:pPr>
        <w:autoSpaceDE w:val="0"/>
        <w:autoSpaceDN w:val="0"/>
        <w:spacing w:line="440" w:lineRule="exact"/>
        <w:ind w:firstLineChars="200" w:firstLine="420"/>
        <w:rPr>
          <w:rFonts w:hAnsi="宋体"/>
          <w:kern w:val="0"/>
          <w:szCs w:val="21"/>
        </w:rPr>
      </w:pPr>
      <w:r w:rsidRPr="00800D22">
        <w:rPr>
          <w:rFonts w:hAnsi="宋体" w:hint="eastAsia"/>
          <w:kern w:val="0"/>
          <w:szCs w:val="21"/>
        </w:rPr>
        <w:t>不同类型的债券投资者</w:t>
      </w:r>
      <w:r w:rsidRPr="00800D22">
        <w:rPr>
          <w:rFonts w:hAnsi="宋体"/>
          <w:kern w:val="0"/>
          <w:szCs w:val="21"/>
        </w:rPr>
        <w:t>对风险的回避程度、自信程度、对市场的敏感性等方面都存在差异</w:t>
      </w:r>
      <w:r w:rsidRPr="00800D22">
        <w:rPr>
          <w:rFonts w:hint="eastAsia"/>
          <w:kern w:val="0"/>
          <w:szCs w:val="21"/>
        </w:rPr>
        <w:t>，</w:t>
      </w:r>
      <w:r w:rsidRPr="00800D22">
        <w:rPr>
          <w:rFonts w:hAnsi="宋体"/>
          <w:kern w:val="0"/>
          <w:szCs w:val="21"/>
        </w:rPr>
        <w:t>这些都会影响市场参与者在</w:t>
      </w:r>
      <w:r w:rsidRPr="00800D22">
        <w:rPr>
          <w:rFonts w:hAnsi="宋体" w:hint="eastAsia"/>
          <w:kern w:val="0"/>
          <w:szCs w:val="21"/>
        </w:rPr>
        <w:t>市场</w:t>
      </w:r>
      <w:r w:rsidRPr="00800D22">
        <w:rPr>
          <w:rFonts w:hAnsi="宋体"/>
          <w:kern w:val="0"/>
          <w:szCs w:val="21"/>
        </w:rPr>
        <w:t>交易中的表现</w:t>
      </w:r>
      <w:r w:rsidRPr="00800D22">
        <w:rPr>
          <w:rFonts w:hint="eastAsia"/>
          <w:kern w:val="0"/>
          <w:szCs w:val="21"/>
        </w:rPr>
        <w:t>，</w:t>
      </w:r>
      <w:r w:rsidRPr="00800D22">
        <w:rPr>
          <w:rFonts w:hAnsi="宋体"/>
          <w:kern w:val="0"/>
          <w:szCs w:val="21"/>
        </w:rPr>
        <w:t>从而影响</w:t>
      </w:r>
      <w:r w:rsidRPr="00800D22">
        <w:rPr>
          <w:rFonts w:hAnsi="宋体" w:hint="eastAsia"/>
          <w:kern w:val="0"/>
          <w:szCs w:val="21"/>
        </w:rPr>
        <w:t>债券</w:t>
      </w:r>
      <w:r w:rsidRPr="00800D22">
        <w:rPr>
          <w:rFonts w:hAnsi="宋体"/>
          <w:kern w:val="0"/>
          <w:szCs w:val="21"/>
        </w:rPr>
        <w:t>市场流动性。</w:t>
      </w:r>
      <w:r w:rsidRPr="00800D22">
        <w:rPr>
          <w:rFonts w:hAnsi="宋体" w:hint="eastAsia"/>
          <w:kern w:val="0"/>
          <w:szCs w:val="21"/>
        </w:rPr>
        <w:t>国内外不少学者研究了投资者类型多元化对证券市场流动性的影响，大部分学者认为，投资者类型多元化有利于提高证券市场的流动性水平。</w:t>
      </w:r>
    </w:p>
    <w:p w14:paraId="118122A5" w14:textId="77777777" w:rsidR="00307F5A" w:rsidRPr="00800D22" w:rsidRDefault="00307F5A" w:rsidP="00307F5A">
      <w:pPr>
        <w:autoSpaceDE w:val="0"/>
        <w:autoSpaceDN w:val="0"/>
        <w:spacing w:line="440" w:lineRule="exact"/>
        <w:ind w:firstLineChars="200" w:firstLine="420"/>
        <w:rPr>
          <w:rFonts w:ascii="宋体" w:hAnsi="宋体"/>
          <w:szCs w:val="21"/>
        </w:rPr>
      </w:pPr>
      <w:r w:rsidRPr="00800D22">
        <w:rPr>
          <w:rFonts w:ascii="宋体" w:hAnsi="宋体" w:hint="eastAsia"/>
          <w:szCs w:val="21"/>
        </w:rPr>
        <w:t>Gravelle（BIS,1999a）通过对加拿大国债市场的研究发现：引入非居民投资者提高了加拿大国债市场的流动性水平。Gravelle认为，投资者类型是影响国债市场流动性的重要因素之一。一方面，投资者行为取决于投资者的类型，投资者在资金来源、资金规模、资金成本、风险偏爱和投资策略等方面存在差异，当他们参与国债市场投资时，必然表现出不同的交易需求，买卖方向和交易量呈现多样化，进而使得在同一交易价格水平上交易量上升；越多元化的投资者类型越容易促进国债市场供求关系的多元化，并促进更加活跃的国债交易活动，进而提高国债市场的流动性。另一方面，投资者在国债交易过程中会表现出“自我实现”特征，当他们观察到一个市场或一类国债品种具有较好的流动性，往往会预期这种流动性在未来时间里仍持续处于较好状态，进而将不断在该市场中或针对该类国债品种增加交易活动，对流动性产生持续的正反馈机制，使得该市场或该类国债品种的流动性不断提高。</w:t>
      </w:r>
      <w:proofErr w:type="spellStart"/>
      <w:r w:rsidRPr="00800D22">
        <w:rPr>
          <w:rFonts w:ascii="宋体" w:hAnsi="宋体"/>
          <w:szCs w:val="21"/>
        </w:rPr>
        <w:t>Hirshleifer</w:t>
      </w:r>
      <w:r w:rsidRPr="00800D22">
        <w:rPr>
          <w:rFonts w:ascii="宋体" w:hAnsi="宋体" w:hint="eastAsia"/>
          <w:szCs w:val="21"/>
        </w:rPr>
        <w:t>.D</w:t>
      </w:r>
      <w:proofErr w:type="spellEnd"/>
      <w:r w:rsidRPr="00800D22">
        <w:rPr>
          <w:rFonts w:ascii="宋体" w:hAnsi="宋体" w:hint="eastAsia"/>
          <w:szCs w:val="21"/>
        </w:rPr>
        <w:t>（1994）认为投资者类型越多，各类投资者对信息掌握的多寡分散化程度越高，并提出了部分知情</w:t>
      </w:r>
      <w:proofErr w:type="gramStart"/>
      <w:r w:rsidRPr="00800D22">
        <w:rPr>
          <w:rFonts w:ascii="宋体" w:hAnsi="宋体" w:hint="eastAsia"/>
          <w:szCs w:val="21"/>
        </w:rPr>
        <w:t>者机构</w:t>
      </w:r>
      <w:proofErr w:type="gramEnd"/>
      <w:r w:rsidRPr="00800D22">
        <w:rPr>
          <w:rFonts w:ascii="宋体" w:hAnsi="宋体" w:hint="eastAsia"/>
          <w:szCs w:val="21"/>
        </w:rPr>
        <w:t>投资者先于其他交易者得到信息的两期模型，得出知情机构投资者的反向交易倾向在一定程度上利于股价稳定的结论。</w:t>
      </w:r>
    </w:p>
    <w:p w14:paraId="221ACEEA" w14:textId="77777777" w:rsidR="00307F5A" w:rsidRPr="00800D22" w:rsidRDefault="00307F5A" w:rsidP="00307F5A">
      <w:pPr>
        <w:autoSpaceDE w:val="0"/>
        <w:autoSpaceDN w:val="0"/>
        <w:spacing w:line="440" w:lineRule="exact"/>
        <w:ind w:firstLineChars="200" w:firstLine="420"/>
        <w:rPr>
          <w:rFonts w:ascii="宋体" w:hAnsi="宋体"/>
          <w:szCs w:val="21"/>
        </w:rPr>
      </w:pPr>
      <w:r w:rsidRPr="00800D22">
        <w:rPr>
          <w:rFonts w:ascii="宋体" w:hAnsi="宋体" w:hint="eastAsia"/>
          <w:szCs w:val="21"/>
        </w:rPr>
        <w:t>张志鹏（2007）在对上海证券交易所分投资者类别的交易数据进行分析后认为，保险公司等机构投资者为信息优势方，利用个人投资者的信息劣势从个人投资者中买进或卖出债券，而个人投资者只是随机的买进或卖出，在进行债券买卖的同时，为整个债券市场提供了流动性；投资者的多元化增加了同一价格水平上债券买卖的数量，进而提高债券市场的流动性水平。杨朝军、姚亚伟、</w:t>
      </w:r>
      <w:proofErr w:type="gramStart"/>
      <w:r w:rsidRPr="00800D22">
        <w:rPr>
          <w:rFonts w:ascii="宋体" w:hAnsi="宋体" w:hint="eastAsia"/>
          <w:szCs w:val="21"/>
        </w:rPr>
        <w:t>沈思玮</w:t>
      </w:r>
      <w:proofErr w:type="gramEnd"/>
      <w:r w:rsidRPr="00800D22">
        <w:rPr>
          <w:rFonts w:ascii="宋体" w:hAnsi="宋体" w:hint="eastAsia"/>
          <w:szCs w:val="21"/>
        </w:rPr>
        <w:t>（2009）从不同类型投资者买卖行为对上海证券市场流动性的影响进行研究，利用SVAR模型探讨了中国不同类型投资者的买卖不平衡比率对同期流动性的影响，实证研究结果表明，个人投资者买卖行为对流动性产生正的效应，投资者结构是影响市场流动性的重要因素，多层次投资主体有助于提高债券。</w:t>
      </w:r>
    </w:p>
    <w:p w14:paraId="7980989B" w14:textId="77777777" w:rsidR="00307F5A" w:rsidRPr="00800D22" w:rsidRDefault="00307F5A" w:rsidP="00307F5A">
      <w:pPr>
        <w:autoSpaceDE w:val="0"/>
        <w:autoSpaceDN w:val="0"/>
        <w:spacing w:line="440" w:lineRule="exact"/>
        <w:ind w:firstLineChars="200" w:firstLine="420"/>
        <w:rPr>
          <w:rFonts w:ascii="宋体" w:hAnsi="宋体"/>
          <w:szCs w:val="21"/>
        </w:rPr>
      </w:pPr>
      <w:r w:rsidRPr="00800D22">
        <w:rPr>
          <w:rFonts w:ascii="宋体" w:hAnsi="宋体" w:hint="eastAsia"/>
          <w:szCs w:val="21"/>
        </w:rPr>
        <w:t>以上的文献主要从投资者多元化角度来探讨金融市场流动性水平，普遍认为，投资者多元化程度越高，在同一交易价格上买卖方向和交易价格差异化程度越高，债券市场的流动性水平越好。且以往文献研究的证券市场中基本都包括了个人投资者，个人投资者为证券市场的流动性水平起到润滑剂的作用。本文研究的对象为中国银行间债券市场债券，银行间债券市场中并没有个人投资者；研究的方向是保险公司对债券市场流动性的影响，保险公司投资规模大，交易量水平高，在债券市场的投资规模仅次于商业银行和信用社，保险公司能否介入对某只债券的交易对该债券的市场流动性能产生较大的影响。</w:t>
      </w:r>
    </w:p>
    <w:p w14:paraId="556B7BF3" w14:textId="77777777" w:rsidR="00307F5A" w:rsidRPr="00800D22" w:rsidRDefault="00307F5A" w:rsidP="00307F5A">
      <w:pPr>
        <w:autoSpaceDE w:val="0"/>
        <w:autoSpaceDN w:val="0"/>
        <w:spacing w:line="440" w:lineRule="exact"/>
        <w:ind w:firstLineChars="200" w:firstLine="420"/>
        <w:rPr>
          <w:rFonts w:ascii="宋体" w:hAnsi="宋体"/>
          <w:szCs w:val="21"/>
        </w:rPr>
      </w:pPr>
      <w:r w:rsidRPr="00800D22">
        <w:rPr>
          <w:rFonts w:ascii="宋体" w:hAnsi="宋体" w:hint="eastAsia"/>
          <w:szCs w:val="21"/>
        </w:rPr>
        <w:t>保险公司不仅可投资债券，也可投资股票，与商业银行、信用社等其他投资机构相比，增加了股票等投资对象。同时保险公司和商业银行、信用社等其他机构投资者受到的监管制度也不相同，在风险控制、资金运用体制及资金运用渠道等方面都有不同的限制和规定。保险公司在投资对象和监管制度方面与商业银行、信用社等机构投资者的差异可能会使保险公司在资金来源、资金规模、资金成本、风险偏爱和投资策略等方面存在差异，同一交易价格水平上的买卖方向和交易量上很可能存在差异，进而可能增加银行间债券市场的流动性水平。同时保险公司和商业银行、信用社等均为机构投资者，在资产安全性、收益性等投资目标上较为一致，保险公司的介入可能使得在同一交易价格上买卖方向较为一致，在一定程度上降低了债券市场的流动性水平。</w:t>
      </w:r>
    </w:p>
    <w:p w14:paraId="177F0D0B" w14:textId="77777777" w:rsidR="00307F5A" w:rsidRPr="00800D22" w:rsidRDefault="00307F5A" w:rsidP="00307F5A">
      <w:pPr>
        <w:autoSpaceDE w:val="0"/>
        <w:autoSpaceDN w:val="0"/>
        <w:spacing w:line="440" w:lineRule="exact"/>
        <w:ind w:firstLineChars="200" w:firstLine="420"/>
        <w:rPr>
          <w:rFonts w:ascii="宋体" w:hAnsi="宋体"/>
          <w:szCs w:val="21"/>
        </w:rPr>
      </w:pPr>
      <w:r w:rsidRPr="00800D22">
        <w:rPr>
          <w:rFonts w:ascii="宋体" w:hAnsi="宋体" w:hint="eastAsia"/>
          <w:szCs w:val="21"/>
        </w:rPr>
        <w:t>本文从保险公司投资债券时在信用级别方面受到的限制条件出发，将银行间债券市场的债券分别保险公司能够投资和不能投资的两类债券，分析两类债券市场的流动性水平，从而得出保险公司的投资能否提高债券市场的流动性水平结论。</w:t>
      </w:r>
    </w:p>
    <w:p w14:paraId="00242AD4" w14:textId="77777777" w:rsidR="00307F5A" w:rsidRPr="00800D22" w:rsidRDefault="00307F5A" w:rsidP="00307F5A">
      <w:pPr>
        <w:spacing w:beforeLines="100" w:before="312" w:afterLines="100" w:after="312" w:line="440" w:lineRule="exact"/>
        <w:jc w:val="center"/>
        <w:rPr>
          <w:b/>
          <w:sz w:val="24"/>
        </w:rPr>
      </w:pPr>
      <w:r w:rsidRPr="00800D22">
        <w:rPr>
          <w:rFonts w:hint="eastAsia"/>
          <w:b/>
          <w:sz w:val="24"/>
        </w:rPr>
        <w:t>三、实证分析</w:t>
      </w:r>
    </w:p>
    <w:p w14:paraId="068BB39A" w14:textId="77777777" w:rsidR="00307F5A" w:rsidRPr="00800D22" w:rsidRDefault="00307F5A" w:rsidP="00307F5A">
      <w:pPr>
        <w:spacing w:line="440" w:lineRule="exact"/>
        <w:ind w:firstLineChars="200" w:firstLine="422"/>
        <w:rPr>
          <w:b/>
          <w:szCs w:val="21"/>
        </w:rPr>
      </w:pPr>
      <w:r w:rsidRPr="00800D22">
        <w:rPr>
          <w:rFonts w:hint="eastAsia"/>
          <w:b/>
          <w:szCs w:val="21"/>
        </w:rPr>
        <w:t>（一）影响债券市场流动性的因素分析</w:t>
      </w:r>
    </w:p>
    <w:p w14:paraId="3875D158" w14:textId="77777777" w:rsidR="00307F5A" w:rsidRPr="00800D22" w:rsidRDefault="00307F5A" w:rsidP="00307F5A">
      <w:pPr>
        <w:spacing w:line="440" w:lineRule="exact"/>
        <w:ind w:firstLineChars="200" w:firstLine="420"/>
        <w:rPr>
          <w:rFonts w:ascii="宋体" w:hAnsi="宋体"/>
          <w:szCs w:val="21"/>
        </w:rPr>
      </w:pPr>
      <w:r w:rsidRPr="00800D22">
        <w:rPr>
          <w:rFonts w:hint="eastAsia"/>
          <w:szCs w:val="21"/>
        </w:rPr>
        <w:t>债券</w:t>
      </w:r>
      <w:r w:rsidRPr="00800D22">
        <w:rPr>
          <w:szCs w:val="21"/>
        </w:rPr>
        <w:t>市场流动性</w:t>
      </w:r>
      <w:r w:rsidRPr="00800D22">
        <w:rPr>
          <w:szCs w:val="21"/>
        </w:rPr>
        <w:t>(Liquidity)</w:t>
      </w:r>
      <w:r w:rsidRPr="00800D22">
        <w:rPr>
          <w:szCs w:val="21"/>
        </w:rPr>
        <w:t>是指</w:t>
      </w:r>
      <w:r w:rsidRPr="00800D22">
        <w:rPr>
          <w:rFonts w:hint="eastAsia"/>
          <w:szCs w:val="21"/>
        </w:rPr>
        <w:t>债券</w:t>
      </w:r>
      <w:r w:rsidRPr="00800D22">
        <w:rPr>
          <w:szCs w:val="21"/>
        </w:rPr>
        <w:t>市场参与者能够迅速进行一定数量的金融交易</w:t>
      </w:r>
      <w:r w:rsidRPr="00800D22">
        <w:rPr>
          <w:rFonts w:hint="eastAsia"/>
          <w:szCs w:val="21"/>
        </w:rPr>
        <w:t>，</w:t>
      </w:r>
      <w:r w:rsidRPr="00800D22">
        <w:rPr>
          <w:szCs w:val="21"/>
        </w:rPr>
        <w:t>并且不会导致金融资产价格发生显著波动的市场交易能力。</w:t>
      </w:r>
      <w:r w:rsidRPr="00800D22">
        <w:rPr>
          <w:rFonts w:hint="eastAsia"/>
          <w:szCs w:val="21"/>
        </w:rPr>
        <w:t>国内外学者对影响债券市场流动性的因素作了大量实证分析，研究发现，影响债券市场流动性的主要因素包括债券市场</w:t>
      </w:r>
      <w:r w:rsidRPr="00800D22">
        <w:rPr>
          <w:rFonts w:ascii="宋体" w:hAnsi="宋体" w:hint="eastAsia"/>
          <w:szCs w:val="21"/>
        </w:rPr>
        <w:t>交易场所、交易机制、交易成本、发行规模、发行期限、债券利率、市场参与者、宏观经济政策变动等。</w:t>
      </w:r>
    </w:p>
    <w:p w14:paraId="1AED003D" w14:textId="77777777" w:rsidR="00307F5A" w:rsidRPr="00800D22" w:rsidRDefault="00307F5A" w:rsidP="00307F5A">
      <w:pPr>
        <w:spacing w:line="440" w:lineRule="exact"/>
        <w:ind w:firstLineChars="200" w:firstLine="420"/>
        <w:rPr>
          <w:rFonts w:ascii="宋体" w:hAnsi="宋体"/>
          <w:szCs w:val="21"/>
        </w:rPr>
      </w:pPr>
      <w:r w:rsidRPr="00800D22">
        <w:rPr>
          <w:rFonts w:ascii="宋体" w:hAnsi="宋体" w:hint="eastAsia"/>
          <w:szCs w:val="21"/>
        </w:rPr>
        <w:t>1、发行规模（SIZE）</w:t>
      </w:r>
    </w:p>
    <w:p w14:paraId="112EDAA3" w14:textId="77777777" w:rsidR="00307F5A" w:rsidRPr="00800D22" w:rsidRDefault="00307F5A" w:rsidP="00307F5A">
      <w:pPr>
        <w:spacing w:line="440" w:lineRule="exact"/>
        <w:ind w:firstLineChars="200" w:firstLine="420"/>
        <w:rPr>
          <w:szCs w:val="21"/>
        </w:rPr>
      </w:pPr>
      <w:r w:rsidRPr="00800D22">
        <w:rPr>
          <w:rFonts w:hint="eastAsia"/>
          <w:szCs w:val="21"/>
        </w:rPr>
        <w:t>一般来说，发行规模越大，所能覆盖的投资者类型越广，投资者数量也越多。在发行规模较大的情况下，单个投资者所持头寸相对总体发行规模来说较小，单个投资者的行为或者单笔交易对于整个市场的影响就很小，于是从宽度来说，发行规模大的债券流动性就相对较好。而发行规模小的债券很容易被单</w:t>
      </w:r>
      <w:proofErr w:type="gramStart"/>
      <w:r w:rsidRPr="00800D22">
        <w:rPr>
          <w:rFonts w:hint="eastAsia"/>
          <w:szCs w:val="21"/>
        </w:rPr>
        <w:t>个</w:t>
      </w:r>
      <w:proofErr w:type="gramEnd"/>
      <w:r w:rsidRPr="00800D22">
        <w:rPr>
          <w:rFonts w:hint="eastAsia"/>
          <w:szCs w:val="21"/>
        </w:rPr>
        <w:t>行为所影响，甚至被少数投资者操纵，单个交易带来的价格影响就很大，于是市场的流动性就很小。从理论上分析，发行规模越大，债券市场流动性越好。</w:t>
      </w:r>
    </w:p>
    <w:p w14:paraId="4D8654B7" w14:textId="77777777" w:rsidR="00307F5A" w:rsidRPr="00800D22" w:rsidRDefault="00307F5A" w:rsidP="00307F5A">
      <w:pPr>
        <w:spacing w:line="440" w:lineRule="exact"/>
        <w:ind w:firstLineChars="200" w:firstLine="420"/>
        <w:rPr>
          <w:szCs w:val="21"/>
        </w:rPr>
      </w:pPr>
      <w:r w:rsidRPr="00800D22">
        <w:rPr>
          <w:rFonts w:hint="eastAsia"/>
          <w:szCs w:val="21"/>
        </w:rPr>
        <w:t>2</w:t>
      </w:r>
      <w:r w:rsidRPr="00800D22">
        <w:rPr>
          <w:rFonts w:hint="eastAsia"/>
          <w:szCs w:val="21"/>
        </w:rPr>
        <w:t>、交易量（</w:t>
      </w:r>
      <w:r w:rsidRPr="00800D22">
        <w:rPr>
          <w:rFonts w:ascii="宋体" w:hAnsi="宋体" w:hint="eastAsia"/>
          <w:szCs w:val="21"/>
        </w:rPr>
        <w:t>TRADE</w:t>
      </w:r>
      <w:r w:rsidRPr="00800D22">
        <w:rPr>
          <w:rFonts w:hint="eastAsia"/>
          <w:szCs w:val="21"/>
        </w:rPr>
        <w:t>）</w:t>
      </w:r>
    </w:p>
    <w:p w14:paraId="356CBE7B" w14:textId="77777777" w:rsidR="00307F5A" w:rsidRPr="00800D22" w:rsidRDefault="00307F5A" w:rsidP="00307F5A">
      <w:pPr>
        <w:spacing w:line="440" w:lineRule="exact"/>
        <w:ind w:firstLineChars="200" w:firstLine="420"/>
        <w:rPr>
          <w:szCs w:val="21"/>
        </w:rPr>
      </w:pPr>
      <w:r w:rsidRPr="00800D22">
        <w:rPr>
          <w:rFonts w:hint="eastAsia"/>
          <w:szCs w:val="21"/>
        </w:rPr>
        <w:t>交易量是衡量债券市场交易活跃程度的指标之一。债券交易量越大</w:t>
      </w:r>
      <w:r w:rsidRPr="00800D22">
        <w:rPr>
          <w:szCs w:val="21"/>
        </w:rPr>
        <w:t>，</w:t>
      </w:r>
      <w:r w:rsidRPr="00800D22">
        <w:rPr>
          <w:rFonts w:hint="eastAsia"/>
          <w:szCs w:val="21"/>
        </w:rPr>
        <w:t>投资者调整组合越容易</w:t>
      </w:r>
      <w:r w:rsidRPr="00800D22">
        <w:rPr>
          <w:szCs w:val="21"/>
        </w:rPr>
        <w:t>，</w:t>
      </w:r>
      <w:r w:rsidRPr="00800D22">
        <w:rPr>
          <w:rFonts w:hint="eastAsia"/>
          <w:szCs w:val="21"/>
        </w:rPr>
        <w:t>调整所需要的时间越短</w:t>
      </w:r>
      <w:r w:rsidRPr="00800D22">
        <w:rPr>
          <w:szCs w:val="21"/>
        </w:rPr>
        <w:t>，</w:t>
      </w:r>
      <w:r w:rsidRPr="00800D22">
        <w:rPr>
          <w:rFonts w:hint="eastAsia"/>
          <w:szCs w:val="21"/>
        </w:rPr>
        <w:t>其所持有头寸长时间暴露风险的可能性也越小</w:t>
      </w:r>
      <w:r w:rsidRPr="00800D22">
        <w:rPr>
          <w:szCs w:val="21"/>
        </w:rPr>
        <w:t>，</w:t>
      </w:r>
      <w:r w:rsidRPr="00800D22">
        <w:rPr>
          <w:rFonts w:hint="eastAsia"/>
          <w:szCs w:val="21"/>
        </w:rPr>
        <w:t>买卖报价价差就越小，市场所能承受的冲击就越大，单笔交易对市场的影响越小，债券市场流动性水平越高。</w:t>
      </w:r>
    </w:p>
    <w:p w14:paraId="27D451E5" w14:textId="77777777" w:rsidR="00307F5A" w:rsidRPr="00800D22" w:rsidRDefault="00307F5A" w:rsidP="00307F5A">
      <w:pPr>
        <w:spacing w:line="440" w:lineRule="exact"/>
        <w:ind w:firstLineChars="200" w:firstLine="420"/>
        <w:rPr>
          <w:szCs w:val="21"/>
        </w:rPr>
      </w:pPr>
      <w:r w:rsidRPr="00800D22">
        <w:rPr>
          <w:rFonts w:hint="eastAsia"/>
          <w:szCs w:val="21"/>
        </w:rPr>
        <w:t>3</w:t>
      </w:r>
      <w:r w:rsidRPr="00800D22">
        <w:rPr>
          <w:rFonts w:hint="eastAsia"/>
          <w:szCs w:val="21"/>
        </w:rPr>
        <w:t>、债券风险（</w:t>
      </w:r>
      <w:r w:rsidRPr="00800D22">
        <w:rPr>
          <w:rFonts w:hint="eastAsia"/>
          <w:szCs w:val="21"/>
        </w:rPr>
        <w:t>RISK</w:t>
      </w:r>
      <w:r w:rsidRPr="00800D22">
        <w:rPr>
          <w:rFonts w:hint="eastAsia"/>
          <w:szCs w:val="21"/>
        </w:rPr>
        <w:t>）</w:t>
      </w:r>
    </w:p>
    <w:p w14:paraId="17569689" w14:textId="77777777" w:rsidR="00307F5A" w:rsidRPr="00800D22" w:rsidRDefault="00307F5A" w:rsidP="00307F5A">
      <w:pPr>
        <w:spacing w:line="440" w:lineRule="exact"/>
        <w:ind w:firstLineChars="200" w:firstLine="420"/>
        <w:rPr>
          <w:szCs w:val="21"/>
        </w:rPr>
      </w:pPr>
      <w:r w:rsidRPr="00800D22">
        <w:rPr>
          <w:szCs w:val="21"/>
        </w:rPr>
        <w:t>债券风险与流动性反向变动：流动性反映了市场中不同投资者对信息的理解和各自所拥有内幕信息集的差异，同时也反映了</w:t>
      </w:r>
      <w:r w:rsidRPr="00800D22">
        <w:rPr>
          <w:rFonts w:hint="eastAsia"/>
          <w:szCs w:val="21"/>
        </w:rPr>
        <w:t>投资者</w:t>
      </w:r>
      <w:r w:rsidRPr="00800D22">
        <w:rPr>
          <w:szCs w:val="21"/>
        </w:rPr>
        <w:t>基于历史信息对债券风险的估计。债券风险越大意味着市场中投资者对未来价格的预期之间存在的差异越大，</w:t>
      </w:r>
      <w:r w:rsidRPr="00800D22">
        <w:rPr>
          <w:rFonts w:hint="eastAsia"/>
          <w:szCs w:val="21"/>
        </w:rPr>
        <w:t>债券</w:t>
      </w:r>
      <w:r w:rsidRPr="00800D22">
        <w:rPr>
          <w:szCs w:val="21"/>
        </w:rPr>
        <w:t>市场中买卖报价价差也就越大。同时债券风险越大还使得市场中投资者对未来的预期的不确定性增加，流动性提供者面临的逆向选择成本越大，也就使得限价指令交易者提供流动性的愿望不强烈，以避免与内幕交易者交易而遭受损失，从而导致市场深度降低。</w:t>
      </w:r>
    </w:p>
    <w:p w14:paraId="6FD9BF29" w14:textId="77777777" w:rsidR="00307F5A" w:rsidRPr="00800D22" w:rsidRDefault="00307F5A" w:rsidP="00307F5A">
      <w:pPr>
        <w:spacing w:line="440" w:lineRule="exact"/>
        <w:ind w:firstLineChars="200" w:firstLine="420"/>
        <w:rPr>
          <w:szCs w:val="21"/>
        </w:rPr>
      </w:pPr>
      <w:r w:rsidRPr="00800D22">
        <w:rPr>
          <w:rFonts w:hint="eastAsia"/>
          <w:szCs w:val="21"/>
        </w:rPr>
        <w:t>4</w:t>
      </w:r>
      <w:r w:rsidRPr="00800D22">
        <w:rPr>
          <w:rFonts w:hint="eastAsia"/>
          <w:szCs w:val="21"/>
        </w:rPr>
        <w:t>、利差（票面利率与发行当天的银行间同期固定利率国债收益率之差，</w:t>
      </w:r>
      <w:r w:rsidRPr="00800D22">
        <w:rPr>
          <w:rFonts w:hint="eastAsia"/>
          <w:szCs w:val="21"/>
        </w:rPr>
        <w:t>SPREAD</w:t>
      </w:r>
      <w:r w:rsidRPr="00800D22">
        <w:rPr>
          <w:rFonts w:hint="eastAsia"/>
          <w:szCs w:val="21"/>
        </w:rPr>
        <w:t>）</w:t>
      </w:r>
    </w:p>
    <w:p w14:paraId="0F878D58" w14:textId="77777777" w:rsidR="00307F5A" w:rsidRPr="00800D22" w:rsidRDefault="00307F5A" w:rsidP="00307F5A">
      <w:pPr>
        <w:spacing w:line="440" w:lineRule="exact"/>
        <w:ind w:firstLineChars="200" w:firstLine="420"/>
        <w:rPr>
          <w:szCs w:val="21"/>
        </w:rPr>
      </w:pPr>
      <w:r w:rsidRPr="00800D22">
        <w:rPr>
          <w:rFonts w:hint="eastAsia"/>
          <w:szCs w:val="21"/>
        </w:rPr>
        <w:t>不同类型投资者出于不同的投资目标和现金流的不同要求，对于高票面利率债券和低票面利率债券的需求不同，进而造成高票面利率和低票面利率的债券市场流动性有所不同。一般来说，低票面利率债券的投资者不能通过票面利息满足现金流的需要，于是需要更多的债券交易，这意味着低票面利率国债的流动性比高票面利率的国债要好。</w:t>
      </w:r>
    </w:p>
    <w:p w14:paraId="5E462FC6" w14:textId="77777777" w:rsidR="00307F5A" w:rsidRPr="00800D22" w:rsidRDefault="00307F5A" w:rsidP="00307F5A">
      <w:pPr>
        <w:spacing w:line="440" w:lineRule="exact"/>
        <w:ind w:firstLineChars="200" w:firstLine="420"/>
        <w:rPr>
          <w:szCs w:val="21"/>
        </w:rPr>
      </w:pPr>
      <w:r w:rsidRPr="00800D22">
        <w:rPr>
          <w:rFonts w:hint="eastAsia"/>
          <w:szCs w:val="21"/>
        </w:rPr>
        <w:t>5</w:t>
      </w:r>
      <w:r w:rsidRPr="00800D22">
        <w:rPr>
          <w:rFonts w:hint="eastAsia"/>
          <w:szCs w:val="21"/>
        </w:rPr>
        <w:t>、到期期限</w:t>
      </w:r>
      <w:r w:rsidRPr="00800D22">
        <w:rPr>
          <w:rFonts w:hint="eastAsia"/>
          <w:szCs w:val="21"/>
        </w:rPr>
        <w:t>(MATURITY)</w:t>
      </w:r>
    </w:p>
    <w:p w14:paraId="45A3B1B8" w14:textId="77777777" w:rsidR="00307F5A" w:rsidRPr="00800D22" w:rsidRDefault="00307F5A" w:rsidP="00307F5A">
      <w:pPr>
        <w:spacing w:line="440" w:lineRule="exact"/>
        <w:ind w:firstLineChars="200" w:firstLine="420"/>
        <w:rPr>
          <w:szCs w:val="21"/>
        </w:rPr>
      </w:pPr>
      <w:r w:rsidRPr="00800D22">
        <w:rPr>
          <w:rFonts w:hint="eastAsia"/>
          <w:szCs w:val="21"/>
        </w:rPr>
        <w:t>一般来说，到期日越长的债券因为最后本金的返还需要更长的时间，当投资者需要现金的时候就不得不提前出售债券，这可能会使投资者造成一定的损失；债券</w:t>
      </w:r>
      <w:proofErr w:type="gramStart"/>
      <w:r w:rsidRPr="00800D22">
        <w:rPr>
          <w:rFonts w:hint="eastAsia"/>
          <w:szCs w:val="21"/>
        </w:rPr>
        <w:t>的久期较长</w:t>
      </w:r>
      <w:proofErr w:type="gramEnd"/>
      <w:r w:rsidRPr="00800D22">
        <w:rPr>
          <w:rFonts w:hint="eastAsia"/>
          <w:szCs w:val="21"/>
        </w:rPr>
        <w:t>，债券价格更容易受到利率波动的影响，风险更大，于是变现能力相对较差，即流动性较差。可以这么认为，到期期限越长，那么债券的流动性水平越低。</w:t>
      </w:r>
    </w:p>
    <w:p w14:paraId="33E5C42C" w14:textId="77777777" w:rsidR="00307F5A" w:rsidRPr="00800D22" w:rsidRDefault="00307F5A" w:rsidP="00307F5A">
      <w:pPr>
        <w:spacing w:line="440" w:lineRule="exact"/>
        <w:ind w:firstLineChars="200" w:firstLine="420"/>
        <w:rPr>
          <w:szCs w:val="21"/>
        </w:rPr>
      </w:pPr>
      <w:r w:rsidRPr="00800D22">
        <w:rPr>
          <w:rFonts w:hint="eastAsia"/>
          <w:szCs w:val="21"/>
        </w:rPr>
        <w:t>6</w:t>
      </w:r>
      <w:r w:rsidRPr="00800D22">
        <w:rPr>
          <w:rFonts w:hint="eastAsia"/>
          <w:szCs w:val="21"/>
        </w:rPr>
        <w:t>、投资者类型（</w:t>
      </w:r>
      <w:r w:rsidRPr="00800D22">
        <w:rPr>
          <w:rFonts w:hint="eastAsia"/>
          <w:szCs w:val="21"/>
        </w:rPr>
        <w:t>INVESTMENT TYPE</w:t>
      </w:r>
      <w:r w:rsidRPr="00800D22">
        <w:rPr>
          <w:rFonts w:hint="eastAsia"/>
          <w:szCs w:val="21"/>
        </w:rPr>
        <w:t>）</w:t>
      </w:r>
    </w:p>
    <w:p w14:paraId="10A3AE25" w14:textId="77777777" w:rsidR="00307F5A" w:rsidRPr="00800D22" w:rsidRDefault="00307F5A" w:rsidP="00307F5A">
      <w:pPr>
        <w:spacing w:line="440" w:lineRule="exact"/>
        <w:ind w:firstLineChars="200" w:firstLine="420"/>
        <w:rPr>
          <w:szCs w:val="21"/>
        </w:rPr>
      </w:pPr>
      <w:r w:rsidRPr="00800D22">
        <w:rPr>
          <w:rFonts w:hint="eastAsia"/>
          <w:szCs w:val="21"/>
        </w:rPr>
        <w:t>市场参与者对资产价值的不同看法会增加或者减少市场参与者的人数，市场参与者的差异包括对风险的喜好和厌恶程度、对信息的敏感程度，以及所掌握的信息的</w:t>
      </w:r>
      <w:proofErr w:type="gramStart"/>
      <w:r w:rsidRPr="00800D22">
        <w:rPr>
          <w:rFonts w:hint="eastAsia"/>
          <w:szCs w:val="21"/>
        </w:rPr>
        <w:t>不</w:t>
      </w:r>
      <w:proofErr w:type="gramEnd"/>
      <w:r w:rsidRPr="00800D22">
        <w:rPr>
          <w:rFonts w:hint="eastAsia"/>
          <w:szCs w:val="21"/>
        </w:rPr>
        <w:t>同等，这种差异的存在使得市场参与者的投资组合呈现多样化，因而能够增加市场的流动性。相反，如果市场参与者都是相同的话，则所有的市场参与者都按照同一方式进行交易，会降低市场的流动性。</w:t>
      </w:r>
    </w:p>
    <w:p w14:paraId="725C72F7" w14:textId="77777777" w:rsidR="00307F5A" w:rsidRPr="00800D22" w:rsidRDefault="00307F5A" w:rsidP="00307F5A">
      <w:pPr>
        <w:spacing w:line="440" w:lineRule="exact"/>
        <w:ind w:firstLineChars="200" w:firstLine="422"/>
        <w:rPr>
          <w:b/>
          <w:szCs w:val="21"/>
        </w:rPr>
      </w:pPr>
      <w:r w:rsidRPr="00800D22">
        <w:rPr>
          <w:rFonts w:hint="eastAsia"/>
          <w:b/>
          <w:szCs w:val="21"/>
        </w:rPr>
        <w:t>（二）债券市场流动性因素指标的选择</w:t>
      </w:r>
    </w:p>
    <w:p w14:paraId="5FB37067" w14:textId="77777777" w:rsidR="00307F5A" w:rsidRPr="00800D22" w:rsidRDefault="00307F5A" w:rsidP="00307F5A">
      <w:pPr>
        <w:spacing w:line="440" w:lineRule="exact"/>
        <w:ind w:firstLineChars="200" w:firstLine="420"/>
        <w:rPr>
          <w:szCs w:val="21"/>
        </w:rPr>
      </w:pPr>
      <w:r w:rsidRPr="00800D22">
        <w:rPr>
          <w:szCs w:val="21"/>
        </w:rPr>
        <w:t>本文采用</w:t>
      </w:r>
      <w:r w:rsidRPr="00800D22">
        <w:rPr>
          <w:position w:val="-6"/>
          <w:szCs w:val="21"/>
        </w:rPr>
        <w:object w:dxaOrig="859" w:dyaOrig="279" w14:anchorId="0C0289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5pt;height:13.95pt" o:ole="">
            <v:imagedata r:id="rId4" o:title=""/>
          </v:shape>
          <o:OLEObject Type="Embed" ProgID="Equation.DSMT4" ShapeID="_x0000_i1025" DrawAspect="Content" ObjectID="_1822575152" r:id="rId5"/>
        </w:object>
      </w:r>
      <w:r w:rsidRPr="00800D22">
        <w:rPr>
          <w:szCs w:val="21"/>
        </w:rPr>
        <w:t>流动性比率衡量债券的流动性水平</w:t>
      </w:r>
      <w:r w:rsidRPr="00800D22">
        <w:rPr>
          <w:rFonts w:hint="eastAsia"/>
          <w:szCs w:val="21"/>
        </w:rPr>
        <w:t>，</w:t>
      </w:r>
      <w:r w:rsidRPr="00800D22">
        <w:rPr>
          <w:position w:val="-6"/>
          <w:szCs w:val="21"/>
        </w:rPr>
        <w:object w:dxaOrig="859" w:dyaOrig="279" w14:anchorId="58554BBA">
          <v:shape id="_x0000_i1026" type="#_x0000_t75" style="width:42.95pt;height:13.95pt" o:ole="">
            <v:imagedata r:id="rId4" o:title=""/>
          </v:shape>
          <o:OLEObject Type="Embed" ProgID="Equation.DSMT4" ShapeID="_x0000_i1026" DrawAspect="Content" ObjectID="_1822575153" r:id="rId6"/>
        </w:object>
      </w:r>
      <w:r w:rsidRPr="00800D22">
        <w:rPr>
          <w:rFonts w:hint="eastAsia"/>
          <w:szCs w:val="21"/>
        </w:rPr>
        <w:t>流动性比率计算公式如下：</w:t>
      </w:r>
    </w:p>
    <w:p w14:paraId="01EC173B" w14:textId="77777777" w:rsidR="00307F5A" w:rsidRPr="00800D22" w:rsidRDefault="00307F5A" w:rsidP="00307F5A">
      <w:pPr>
        <w:spacing w:line="440" w:lineRule="exact"/>
        <w:ind w:firstLineChars="200" w:firstLine="420"/>
        <w:rPr>
          <w:rFonts w:eastAsia="仿宋_GB2312"/>
          <w:szCs w:val="21"/>
        </w:rPr>
      </w:pPr>
      <w:r w:rsidRPr="00800D22">
        <w:rPr>
          <w:rFonts w:eastAsia="仿宋_GB2312"/>
          <w:position w:val="-60"/>
          <w:szCs w:val="21"/>
        </w:rPr>
        <w:object w:dxaOrig="2299" w:dyaOrig="1320" w14:anchorId="5B470A3E">
          <v:shape id="_x0000_i1027" type="#_x0000_t75" style="width:114.95pt;height:66pt" o:ole="">
            <v:imagedata r:id="rId7" o:title=""/>
          </v:shape>
          <o:OLEObject Type="Embed" ProgID="Equation.DSMT4" ShapeID="_x0000_i1027" DrawAspect="Content" ObjectID="_1822575154" r:id="rId8"/>
        </w:object>
      </w:r>
      <w:r w:rsidRPr="00800D22">
        <w:rPr>
          <w:rFonts w:eastAsia="仿宋_GB2312"/>
          <w:szCs w:val="21"/>
        </w:rPr>
        <w:t xml:space="preserve">                                   </w:t>
      </w:r>
      <w:r w:rsidRPr="00800D22">
        <w:rPr>
          <w:rFonts w:eastAsia="新宋体"/>
          <w:szCs w:val="21"/>
        </w:rPr>
        <w:t xml:space="preserve"> </w:t>
      </w:r>
      <w:r w:rsidRPr="00800D22">
        <w:rPr>
          <w:rFonts w:eastAsia="新宋体"/>
          <w:szCs w:val="21"/>
        </w:rPr>
        <w:t>（公式</w:t>
      </w:r>
      <w:r w:rsidRPr="00800D22">
        <w:rPr>
          <w:rFonts w:eastAsia="新宋体" w:hint="eastAsia"/>
          <w:szCs w:val="21"/>
        </w:rPr>
        <w:t>4</w:t>
      </w:r>
      <w:r w:rsidRPr="00800D22">
        <w:rPr>
          <w:rFonts w:eastAsia="新宋体"/>
          <w:szCs w:val="21"/>
        </w:rPr>
        <w:t>.</w:t>
      </w:r>
      <w:r w:rsidRPr="00800D22">
        <w:rPr>
          <w:rFonts w:eastAsia="新宋体" w:hint="eastAsia"/>
          <w:szCs w:val="21"/>
        </w:rPr>
        <w:t>1</w:t>
      </w:r>
      <w:r w:rsidRPr="00800D22">
        <w:rPr>
          <w:rFonts w:eastAsia="新宋体"/>
          <w:szCs w:val="21"/>
        </w:rPr>
        <w:t>）</w:t>
      </w:r>
    </w:p>
    <w:p w14:paraId="5943F6EB" w14:textId="77777777" w:rsidR="00307F5A" w:rsidRPr="00800D22" w:rsidRDefault="00307F5A" w:rsidP="00307F5A">
      <w:pPr>
        <w:spacing w:line="440" w:lineRule="exact"/>
        <w:ind w:firstLineChars="200" w:firstLine="420"/>
        <w:rPr>
          <w:szCs w:val="21"/>
        </w:rPr>
      </w:pPr>
      <w:r w:rsidRPr="00800D22">
        <w:rPr>
          <w:szCs w:val="21"/>
        </w:rPr>
        <w:t>其中：</w:t>
      </w:r>
      <w:r w:rsidRPr="00800D22">
        <w:rPr>
          <w:position w:val="-12"/>
        </w:rPr>
        <w:object w:dxaOrig="320" w:dyaOrig="360" w14:anchorId="4F60C709">
          <v:shape id="_x0000_i1028" type="#_x0000_t75" style="width:16pt;height:18pt" o:ole="">
            <v:imagedata r:id="rId9" o:title=""/>
          </v:shape>
          <o:OLEObject Type="Embed" ProgID="Equation.DSMT4" ShapeID="_x0000_i1028" DrawAspect="Content" ObjectID="_1822575155" r:id="rId10"/>
        </w:object>
      </w:r>
      <w:r w:rsidRPr="00800D22">
        <w:rPr>
          <w:szCs w:val="21"/>
        </w:rPr>
        <w:t>表示</w:t>
      </w:r>
      <w:r w:rsidRPr="00800D22">
        <w:rPr>
          <w:szCs w:val="21"/>
        </w:rPr>
        <w:t>t</w:t>
      </w:r>
      <w:r w:rsidRPr="00800D22">
        <w:rPr>
          <w:szCs w:val="21"/>
        </w:rPr>
        <w:t>日债券</w:t>
      </w:r>
      <w:proofErr w:type="spellStart"/>
      <w:r w:rsidRPr="00800D22">
        <w:rPr>
          <w:szCs w:val="21"/>
        </w:rPr>
        <w:t>i</w:t>
      </w:r>
      <w:proofErr w:type="spellEnd"/>
      <w:r w:rsidRPr="00800D22">
        <w:rPr>
          <w:szCs w:val="21"/>
        </w:rPr>
        <w:t>的收盘价；</w:t>
      </w:r>
      <w:r w:rsidRPr="00800D22">
        <w:rPr>
          <w:position w:val="-12"/>
        </w:rPr>
        <w:object w:dxaOrig="279" w:dyaOrig="360" w14:anchorId="4EC08E4B">
          <v:shape id="_x0000_i1029" type="#_x0000_t75" style="width:13.95pt;height:18pt" o:ole="">
            <v:imagedata r:id="rId11" o:title=""/>
          </v:shape>
          <o:OLEObject Type="Embed" ProgID="Equation.DSMT4" ShapeID="_x0000_i1029" DrawAspect="Content" ObjectID="_1822575156" r:id="rId12"/>
        </w:object>
      </w:r>
      <w:r w:rsidRPr="00800D22">
        <w:rPr>
          <w:szCs w:val="21"/>
        </w:rPr>
        <w:t>表示</w:t>
      </w:r>
      <w:r w:rsidRPr="00800D22">
        <w:rPr>
          <w:szCs w:val="21"/>
        </w:rPr>
        <w:t>t</w:t>
      </w:r>
      <w:r w:rsidRPr="00800D22">
        <w:rPr>
          <w:szCs w:val="21"/>
        </w:rPr>
        <w:t>日债券</w:t>
      </w:r>
      <w:proofErr w:type="spellStart"/>
      <w:r w:rsidRPr="00800D22">
        <w:rPr>
          <w:szCs w:val="21"/>
        </w:rPr>
        <w:t>i</w:t>
      </w:r>
      <w:proofErr w:type="spellEnd"/>
      <w:r w:rsidRPr="00800D22">
        <w:rPr>
          <w:szCs w:val="21"/>
        </w:rPr>
        <w:t>的交易量；</w:t>
      </w:r>
      <w:r w:rsidRPr="00800D22">
        <w:rPr>
          <w:position w:val="-28"/>
        </w:rPr>
        <w:object w:dxaOrig="1280" w:dyaOrig="680" w14:anchorId="4C1FADE9">
          <v:shape id="_x0000_i1030" type="#_x0000_t75" style="width:64pt;height:34pt" o:ole="">
            <v:imagedata r:id="rId13" o:title=""/>
          </v:shape>
          <o:OLEObject Type="Embed" ProgID="Equation.DSMT4" ShapeID="_x0000_i1030" DrawAspect="Content" ObjectID="_1822575157" r:id="rId14"/>
        </w:object>
      </w:r>
      <w:r w:rsidRPr="00800D22">
        <w:rPr>
          <w:szCs w:val="21"/>
        </w:rPr>
        <w:t>表示一定时间内债券</w:t>
      </w:r>
      <w:proofErr w:type="spellStart"/>
      <w:r w:rsidRPr="00800D22">
        <w:rPr>
          <w:szCs w:val="21"/>
        </w:rPr>
        <w:t>i</w:t>
      </w:r>
      <w:proofErr w:type="spellEnd"/>
      <w:r w:rsidRPr="00800D22">
        <w:rPr>
          <w:szCs w:val="21"/>
        </w:rPr>
        <w:t>的价格变化绝对比率的总和。</w:t>
      </w:r>
    </w:p>
    <w:p w14:paraId="1F646FF7" w14:textId="77777777" w:rsidR="00307F5A" w:rsidRPr="00800D22" w:rsidRDefault="00307F5A" w:rsidP="00307F5A">
      <w:pPr>
        <w:spacing w:line="440" w:lineRule="exact"/>
        <w:ind w:firstLineChars="200" w:firstLine="420"/>
        <w:rPr>
          <w:szCs w:val="21"/>
        </w:rPr>
      </w:pPr>
      <w:r w:rsidRPr="00800D22">
        <w:rPr>
          <w:position w:val="-6"/>
          <w:szCs w:val="21"/>
        </w:rPr>
        <w:object w:dxaOrig="859" w:dyaOrig="279" w14:anchorId="765F953D">
          <v:shape id="_x0000_i1031" type="#_x0000_t75" style="width:42.95pt;height:13.95pt" o:ole="">
            <v:imagedata r:id="rId15" o:title=""/>
          </v:shape>
          <o:OLEObject Type="Embed" ProgID="Equation.DSMT4" ShapeID="_x0000_i1031" DrawAspect="Content" ObjectID="_1822575158" r:id="rId16"/>
        </w:object>
      </w:r>
      <w:r w:rsidRPr="00800D22">
        <w:rPr>
          <w:szCs w:val="21"/>
        </w:rPr>
        <w:t>流动性比率作为衡量市场流动性的指标之一，</w:t>
      </w:r>
      <w:r w:rsidRPr="00800D22">
        <w:rPr>
          <w:position w:val="-6"/>
          <w:szCs w:val="21"/>
        </w:rPr>
        <w:object w:dxaOrig="859" w:dyaOrig="279" w14:anchorId="4BED3DF2">
          <v:shape id="_x0000_i1032" type="#_x0000_t75" style="width:42.95pt;height:13.95pt" o:ole="">
            <v:imagedata r:id="rId17" o:title=""/>
          </v:shape>
          <o:OLEObject Type="Embed" ProgID="Equation.DSMT4" ShapeID="_x0000_i1032" DrawAspect="Content" ObjectID="_1822575159" r:id="rId18"/>
        </w:object>
      </w:r>
      <w:r w:rsidRPr="00800D22">
        <w:rPr>
          <w:szCs w:val="21"/>
        </w:rPr>
        <w:t>流动性比率</w:t>
      </w:r>
      <w:r w:rsidRPr="00800D22">
        <w:rPr>
          <w:rFonts w:hint="eastAsia"/>
          <w:szCs w:val="21"/>
        </w:rPr>
        <w:t>指标值</w:t>
      </w:r>
      <w:r w:rsidRPr="00800D22">
        <w:rPr>
          <w:szCs w:val="21"/>
        </w:rPr>
        <w:t>越高，表示交易量受价格的影响越小，流动性越好。本文采用</w:t>
      </w:r>
      <w:r w:rsidRPr="00800D22">
        <w:rPr>
          <w:szCs w:val="21"/>
        </w:rPr>
        <w:t>t</w:t>
      </w:r>
      <w:proofErr w:type="gramStart"/>
      <w:r w:rsidRPr="00800D22">
        <w:rPr>
          <w:szCs w:val="21"/>
        </w:rPr>
        <w:t>日</w:t>
      </w:r>
      <w:r w:rsidRPr="00800D22">
        <w:rPr>
          <w:rFonts w:hint="eastAsia"/>
          <w:szCs w:val="21"/>
        </w:rPr>
        <w:t>存在</w:t>
      </w:r>
      <w:proofErr w:type="gramEnd"/>
      <w:r w:rsidRPr="00800D22">
        <w:rPr>
          <w:rFonts w:hint="eastAsia"/>
          <w:szCs w:val="21"/>
        </w:rPr>
        <w:t>交易的</w:t>
      </w:r>
      <w:r w:rsidRPr="00800D22">
        <w:rPr>
          <w:szCs w:val="21"/>
        </w:rPr>
        <w:t>前</w:t>
      </w:r>
      <w:r w:rsidRPr="00800D22">
        <w:rPr>
          <w:szCs w:val="21"/>
        </w:rPr>
        <w:t>5</w:t>
      </w:r>
      <w:r w:rsidRPr="00800D22">
        <w:rPr>
          <w:szCs w:val="21"/>
        </w:rPr>
        <w:t>天交易数据来计算</w:t>
      </w:r>
      <w:r w:rsidRPr="00800D22">
        <w:rPr>
          <w:szCs w:val="21"/>
        </w:rPr>
        <w:t>t</w:t>
      </w:r>
      <w:r w:rsidRPr="00800D22">
        <w:rPr>
          <w:szCs w:val="21"/>
        </w:rPr>
        <w:t>日的</w:t>
      </w:r>
      <w:r w:rsidRPr="00800D22">
        <w:rPr>
          <w:position w:val="-6"/>
          <w:szCs w:val="21"/>
        </w:rPr>
        <w:object w:dxaOrig="859" w:dyaOrig="279" w14:anchorId="676E3F42">
          <v:shape id="_x0000_i1033" type="#_x0000_t75" style="width:42.95pt;height:13.95pt" o:ole="">
            <v:imagedata r:id="rId19" o:title=""/>
          </v:shape>
          <o:OLEObject Type="Embed" ProgID="Equation.DSMT4" ShapeID="_x0000_i1033" DrawAspect="Content" ObjectID="_1822575160" r:id="rId20"/>
        </w:object>
      </w:r>
      <w:r w:rsidRPr="00800D22">
        <w:rPr>
          <w:szCs w:val="21"/>
        </w:rPr>
        <w:t>流动性比率。</w:t>
      </w:r>
    </w:p>
    <w:p w14:paraId="6B2811FF" w14:textId="77777777" w:rsidR="00307F5A" w:rsidRPr="00800D22" w:rsidRDefault="00307F5A" w:rsidP="00307F5A">
      <w:pPr>
        <w:spacing w:line="440" w:lineRule="exact"/>
        <w:ind w:firstLineChars="200" w:firstLine="422"/>
        <w:rPr>
          <w:b/>
          <w:szCs w:val="21"/>
        </w:rPr>
      </w:pPr>
      <w:r w:rsidRPr="00800D22">
        <w:rPr>
          <w:rFonts w:hint="eastAsia"/>
          <w:b/>
          <w:szCs w:val="21"/>
        </w:rPr>
        <w:t>（三）样本数据筛选</w:t>
      </w:r>
    </w:p>
    <w:p w14:paraId="7B475779" w14:textId="77777777" w:rsidR="00307F5A" w:rsidRPr="00800D22" w:rsidRDefault="00307F5A" w:rsidP="00307F5A">
      <w:pPr>
        <w:spacing w:line="440" w:lineRule="exact"/>
        <w:ind w:firstLineChars="200" w:firstLine="420"/>
      </w:pPr>
      <w:r w:rsidRPr="00800D22">
        <w:rPr>
          <w:rFonts w:hint="eastAsia"/>
        </w:rPr>
        <w:t>目前所发行的企业（公司）债券债项级别基本在</w:t>
      </w:r>
      <w:r w:rsidRPr="00800D22">
        <w:rPr>
          <w:rFonts w:hint="eastAsia"/>
        </w:rPr>
        <w:t>AA-</w:t>
      </w:r>
      <w:r w:rsidRPr="00800D22">
        <w:rPr>
          <w:rFonts w:hint="eastAsia"/>
        </w:rPr>
        <w:t>以上（包括</w:t>
      </w:r>
      <w:r w:rsidRPr="00800D22">
        <w:rPr>
          <w:rFonts w:hint="eastAsia"/>
        </w:rPr>
        <w:t>AA-</w:t>
      </w:r>
      <w:r w:rsidRPr="00800D22">
        <w:rPr>
          <w:rFonts w:hint="eastAsia"/>
        </w:rPr>
        <w:t>），</w:t>
      </w:r>
      <w:proofErr w:type="gramStart"/>
      <w:r w:rsidRPr="00800D22">
        <w:rPr>
          <w:rFonts w:hint="eastAsia"/>
        </w:rPr>
        <w:t>从债项</w:t>
      </w:r>
      <w:proofErr w:type="gramEnd"/>
      <w:r w:rsidRPr="00800D22">
        <w:rPr>
          <w:rFonts w:hint="eastAsia"/>
        </w:rPr>
        <w:t>级别的角度上看，保险公司基本都能投资。若从企业（公司）债券市场研究保险公司投资对两类债券市场流动性的影响，存在缺乏样本数据的问题。目前所发行的短期融资</w:t>
      </w:r>
      <w:proofErr w:type="gramStart"/>
      <w:r w:rsidRPr="00800D22">
        <w:rPr>
          <w:rFonts w:hint="eastAsia"/>
        </w:rPr>
        <w:t>券</w:t>
      </w:r>
      <w:proofErr w:type="gramEnd"/>
      <w:r w:rsidRPr="00800D22">
        <w:rPr>
          <w:rFonts w:hint="eastAsia"/>
        </w:rPr>
        <w:t>尽管债项级别均为</w:t>
      </w:r>
      <w:r w:rsidRPr="00800D22">
        <w:rPr>
          <w:rFonts w:hint="eastAsia"/>
        </w:rPr>
        <w:t>A-1</w:t>
      </w:r>
      <w:r w:rsidRPr="00800D22">
        <w:rPr>
          <w:rFonts w:hint="eastAsia"/>
        </w:rPr>
        <w:t>，但主体级别较为分散，从</w:t>
      </w:r>
      <w:r w:rsidRPr="00800D22">
        <w:rPr>
          <w:rFonts w:hint="eastAsia"/>
        </w:rPr>
        <w:t>BBB+</w:t>
      </w:r>
      <w:r w:rsidRPr="00800D22">
        <w:rPr>
          <w:rFonts w:hint="eastAsia"/>
        </w:rPr>
        <w:t>级到</w:t>
      </w:r>
      <w:r w:rsidRPr="00800D22">
        <w:rPr>
          <w:rFonts w:hint="eastAsia"/>
        </w:rPr>
        <w:t>AAA</w:t>
      </w:r>
      <w:r w:rsidRPr="00800D22">
        <w:rPr>
          <w:rFonts w:hint="eastAsia"/>
        </w:rPr>
        <w:t>级不等。根据</w:t>
      </w:r>
      <w:r w:rsidRPr="00800D22">
        <w:rPr>
          <w:rFonts w:hint="eastAsia"/>
        </w:rPr>
        <w:t>Wind</w:t>
      </w:r>
      <w:r w:rsidRPr="00800D22">
        <w:rPr>
          <w:rFonts w:hint="eastAsia"/>
        </w:rPr>
        <w:t>资讯的统计结果显示，截至</w:t>
      </w:r>
      <w:smartTag w:uri="urn:schemas-microsoft-com:office:smarttags" w:element="chsdate">
        <w:smartTagPr>
          <w:attr w:name="Year" w:val="2009"/>
          <w:attr w:name="Month" w:val="10"/>
          <w:attr w:name="Day" w:val="31"/>
          <w:attr w:name="IsLunarDate" w:val="False"/>
          <w:attr w:name="IsROCDate" w:val="False"/>
        </w:smartTagPr>
        <w:r w:rsidRPr="00800D22">
          <w:rPr>
            <w:rFonts w:hint="eastAsia"/>
          </w:rPr>
          <w:t>2009</w:t>
        </w:r>
        <w:r w:rsidRPr="00800D22">
          <w:rPr>
            <w:rFonts w:hint="eastAsia"/>
          </w:rPr>
          <w:t>年</w:t>
        </w:r>
        <w:r w:rsidRPr="00800D22">
          <w:rPr>
            <w:rFonts w:hint="eastAsia"/>
          </w:rPr>
          <w:t>10</w:t>
        </w:r>
        <w:r w:rsidRPr="00800D22">
          <w:rPr>
            <w:rFonts w:hint="eastAsia"/>
          </w:rPr>
          <w:t>月</w:t>
        </w:r>
        <w:r w:rsidRPr="00800D22">
          <w:rPr>
            <w:rFonts w:hint="eastAsia"/>
          </w:rPr>
          <w:t>31</w:t>
        </w:r>
        <w:r w:rsidRPr="00800D22">
          <w:rPr>
            <w:rFonts w:hint="eastAsia"/>
          </w:rPr>
          <w:t>日</w:t>
        </w:r>
      </w:smartTag>
      <w:r w:rsidRPr="00800D22">
        <w:rPr>
          <w:rFonts w:hint="eastAsia"/>
        </w:rPr>
        <w:t>，我国一共发行</w:t>
      </w:r>
      <w:r w:rsidRPr="00800D22">
        <w:rPr>
          <w:rFonts w:hint="eastAsia"/>
        </w:rPr>
        <w:t>1,069</w:t>
      </w:r>
      <w:r w:rsidRPr="00800D22">
        <w:rPr>
          <w:rFonts w:hint="eastAsia"/>
        </w:rPr>
        <w:t>只短</w:t>
      </w:r>
      <w:proofErr w:type="gramStart"/>
      <w:r w:rsidRPr="00800D22">
        <w:rPr>
          <w:rFonts w:hint="eastAsia"/>
        </w:rPr>
        <w:t>券</w:t>
      </w:r>
      <w:proofErr w:type="gramEnd"/>
      <w:r w:rsidRPr="00800D22">
        <w:rPr>
          <w:rFonts w:hint="eastAsia"/>
        </w:rPr>
        <w:t>，扣除发行初期</w:t>
      </w:r>
      <w:r w:rsidRPr="00800D22">
        <w:rPr>
          <w:rFonts w:hint="eastAsia"/>
        </w:rPr>
        <w:t>38</w:t>
      </w:r>
      <w:r w:rsidRPr="00800D22">
        <w:rPr>
          <w:rFonts w:hint="eastAsia"/>
        </w:rPr>
        <w:t>只未给定主体级别的短</w:t>
      </w:r>
      <w:proofErr w:type="gramStart"/>
      <w:r w:rsidRPr="00800D22">
        <w:rPr>
          <w:rFonts w:hint="eastAsia"/>
        </w:rPr>
        <w:t>券</w:t>
      </w:r>
      <w:proofErr w:type="gramEnd"/>
      <w:r w:rsidRPr="00800D22">
        <w:rPr>
          <w:rFonts w:hint="eastAsia"/>
        </w:rPr>
        <w:t>，主体级别在</w:t>
      </w:r>
      <w:r w:rsidRPr="00800D22">
        <w:rPr>
          <w:rFonts w:hint="eastAsia"/>
        </w:rPr>
        <w:t>AA-</w:t>
      </w:r>
      <w:r w:rsidRPr="00800D22">
        <w:rPr>
          <w:rFonts w:hint="eastAsia"/>
        </w:rPr>
        <w:t>级以上（不包括</w:t>
      </w:r>
      <w:r w:rsidRPr="00800D22">
        <w:rPr>
          <w:rFonts w:hint="eastAsia"/>
        </w:rPr>
        <w:t>AA-</w:t>
      </w:r>
      <w:r w:rsidRPr="00800D22">
        <w:rPr>
          <w:rFonts w:hint="eastAsia"/>
        </w:rPr>
        <w:t>，以下同）的短</w:t>
      </w:r>
      <w:proofErr w:type="gramStart"/>
      <w:r w:rsidRPr="00800D22">
        <w:rPr>
          <w:rFonts w:hint="eastAsia"/>
        </w:rPr>
        <w:t>券</w:t>
      </w:r>
      <w:proofErr w:type="gramEnd"/>
      <w:r w:rsidRPr="00800D22">
        <w:rPr>
          <w:rFonts w:hint="eastAsia"/>
        </w:rPr>
        <w:t>共</w:t>
      </w:r>
      <w:r w:rsidRPr="00800D22">
        <w:rPr>
          <w:rFonts w:hint="eastAsia"/>
        </w:rPr>
        <w:t>635</w:t>
      </w:r>
      <w:r w:rsidRPr="00800D22">
        <w:rPr>
          <w:rFonts w:hint="eastAsia"/>
        </w:rPr>
        <w:t>只，主体级别在</w:t>
      </w:r>
      <w:r w:rsidRPr="00800D22">
        <w:rPr>
          <w:rFonts w:hint="eastAsia"/>
        </w:rPr>
        <w:t>AA-</w:t>
      </w:r>
      <w:r w:rsidRPr="00800D22">
        <w:rPr>
          <w:rFonts w:hint="eastAsia"/>
        </w:rPr>
        <w:t>以下</w:t>
      </w:r>
      <w:r w:rsidRPr="00800D22">
        <w:rPr>
          <w:rFonts w:hint="eastAsia"/>
        </w:rPr>
        <w:t>(</w:t>
      </w:r>
      <w:r w:rsidRPr="00800D22">
        <w:rPr>
          <w:rFonts w:hint="eastAsia"/>
        </w:rPr>
        <w:t>包括</w:t>
      </w:r>
      <w:r w:rsidRPr="00800D22">
        <w:rPr>
          <w:rFonts w:hint="eastAsia"/>
        </w:rPr>
        <w:t>AA-</w:t>
      </w:r>
      <w:r w:rsidRPr="00800D22">
        <w:rPr>
          <w:rFonts w:hint="eastAsia"/>
        </w:rPr>
        <w:t>，以下同</w:t>
      </w:r>
      <w:r w:rsidRPr="00800D22">
        <w:rPr>
          <w:rFonts w:hint="eastAsia"/>
        </w:rPr>
        <w:t>)</w:t>
      </w:r>
      <w:r w:rsidRPr="00800D22">
        <w:rPr>
          <w:rFonts w:hint="eastAsia"/>
        </w:rPr>
        <w:t>的短</w:t>
      </w:r>
      <w:proofErr w:type="gramStart"/>
      <w:r w:rsidRPr="00800D22">
        <w:rPr>
          <w:rFonts w:hint="eastAsia"/>
        </w:rPr>
        <w:t>券</w:t>
      </w:r>
      <w:proofErr w:type="gramEnd"/>
      <w:r w:rsidRPr="00800D22">
        <w:rPr>
          <w:rFonts w:hint="eastAsia"/>
        </w:rPr>
        <w:t>共</w:t>
      </w:r>
      <w:r w:rsidRPr="00800D22">
        <w:rPr>
          <w:rFonts w:hint="eastAsia"/>
        </w:rPr>
        <w:t>396</w:t>
      </w:r>
      <w:r w:rsidRPr="00800D22">
        <w:rPr>
          <w:rFonts w:hint="eastAsia"/>
        </w:rPr>
        <w:t>只，短</w:t>
      </w:r>
      <w:proofErr w:type="gramStart"/>
      <w:r w:rsidRPr="00800D22">
        <w:rPr>
          <w:rFonts w:hint="eastAsia"/>
        </w:rPr>
        <w:t>券</w:t>
      </w:r>
      <w:proofErr w:type="gramEnd"/>
      <w:r w:rsidRPr="00800D22">
        <w:rPr>
          <w:rFonts w:hint="eastAsia"/>
        </w:rPr>
        <w:t>主体级别的多样化给本文的研究提供了的足够的样本数据。</w:t>
      </w:r>
    </w:p>
    <w:p w14:paraId="7AF3B643" w14:textId="77777777" w:rsidR="00307F5A" w:rsidRPr="00800D22" w:rsidRDefault="00307F5A" w:rsidP="00307F5A">
      <w:pPr>
        <w:spacing w:line="440" w:lineRule="exact"/>
        <w:ind w:firstLineChars="200" w:firstLine="420"/>
      </w:pPr>
      <w:r w:rsidRPr="00800D22">
        <w:rPr>
          <w:rFonts w:hint="eastAsia"/>
        </w:rPr>
        <w:t>本文采用已发行的短</w:t>
      </w:r>
      <w:proofErr w:type="gramStart"/>
      <w:r w:rsidRPr="00800D22">
        <w:rPr>
          <w:rFonts w:hint="eastAsia"/>
        </w:rPr>
        <w:t>券</w:t>
      </w:r>
      <w:proofErr w:type="gramEnd"/>
      <w:r w:rsidRPr="00800D22">
        <w:rPr>
          <w:rFonts w:hint="eastAsia"/>
        </w:rPr>
        <w:t>作为研究的样本数据。考虑债券发行规模也是影响流动性水平的因素，本文选取发行额度均为</w:t>
      </w:r>
      <w:r w:rsidRPr="00800D22">
        <w:rPr>
          <w:rFonts w:hint="eastAsia"/>
        </w:rPr>
        <w:t>10</w:t>
      </w:r>
      <w:r w:rsidRPr="00800D22">
        <w:rPr>
          <w:rFonts w:hint="eastAsia"/>
        </w:rPr>
        <w:t>亿元的短</w:t>
      </w:r>
      <w:proofErr w:type="gramStart"/>
      <w:r w:rsidRPr="00800D22">
        <w:rPr>
          <w:rFonts w:hint="eastAsia"/>
        </w:rPr>
        <w:t>券</w:t>
      </w:r>
      <w:proofErr w:type="gramEnd"/>
      <w:r w:rsidRPr="00800D22">
        <w:rPr>
          <w:rFonts w:hint="eastAsia"/>
        </w:rPr>
        <w:t>作为研究样本，这样对</w:t>
      </w:r>
      <w:r w:rsidRPr="00800D22">
        <w:rPr>
          <w:rFonts w:hint="eastAsia"/>
        </w:rPr>
        <w:t>174</w:t>
      </w:r>
      <w:r w:rsidRPr="00800D22">
        <w:rPr>
          <w:rFonts w:hint="eastAsia"/>
        </w:rPr>
        <w:t>只发行额度为</w:t>
      </w:r>
      <w:r w:rsidRPr="00800D22">
        <w:rPr>
          <w:rFonts w:hint="eastAsia"/>
        </w:rPr>
        <w:t>10</w:t>
      </w:r>
      <w:r w:rsidRPr="00800D22">
        <w:rPr>
          <w:rFonts w:hint="eastAsia"/>
        </w:rPr>
        <w:t>亿元的短</w:t>
      </w:r>
      <w:proofErr w:type="gramStart"/>
      <w:r w:rsidRPr="00800D22">
        <w:rPr>
          <w:rFonts w:hint="eastAsia"/>
        </w:rPr>
        <w:t>券</w:t>
      </w:r>
      <w:proofErr w:type="gramEnd"/>
      <w:r w:rsidRPr="00800D22">
        <w:rPr>
          <w:rFonts w:hint="eastAsia"/>
        </w:rPr>
        <w:t>来说，发行规模对各只债券的影响程度相同，本文剔除了发行规模作为影响发行额度均为</w:t>
      </w:r>
      <w:r w:rsidRPr="00800D22">
        <w:rPr>
          <w:rFonts w:hint="eastAsia"/>
        </w:rPr>
        <w:t>10</w:t>
      </w:r>
      <w:r w:rsidRPr="00800D22">
        <w:rPr>
          <w:rFonts w:hint="eastAsia"/>
        </w:rPr>
        <w:t>亿元的债券市场流动性因素。</w:t>
      </w:r>
      <w:r w:rsidRPr="00800D22">
        <w:rPr>
          <w:rFonts w:hint="eastAsia"/>
        </w:rPr>
        <w:t>168</w:t>
      </w:r>
      <w:r w:rsidRPr="00800D22">
        <w:rPr>
          <w:rFonts w:hint="eastAsia"/>
        </w:rPr>
        <w:t>只样本短</w:t>
      </w:r>
      <w:proofErr w:type="gramStart"/>
      <w:r w:rsidRPr="00800D22">
        <w:rPr>
          <w:rFonts w:hint="eastAsia"/>
        </w:rPr>
        <w:t>券</w:t>
      </w:r>
      <w:proofErr w:type="gramEnd"/>
      <w:r w:rsidRPr="00800D22">
        <w:rPr>
          <w:rFonts w:hint="eastAsia"/>
        </w:rPr>
        <w:t>中，主体级别为</w:t>
      </w:r>
      <w:r w:rsidRPr="00800D22">
        <w:rPr>
          <w:rFonts w:hint="eastAsia"/>
        </w:rPr>
        <w:t>AA-</w:t>
      </w:r>
      <w:r w:rsidRPr="00800D22">
        <w:rPr>
          <w:rFonts w:hint="eastAsia"/>
        </w:rPr>
        <w:t>以下的共</w:t>
      </w:r>
      <w:r w:rsidRPr="00800D22">
        <w:rPr>
          <w:rFonts w:hint="eastAsia"/>
        </w:rPr>
        <w:t>27</w:t>
      </w:r>
      <w:r w:rsidRPr="00800D22">
        <w:rPr>
          <w:rFonts w:hint="eastAsia"/>
        </w:rPr>
        <w:t>只，主体级别为</w:t>
      </w:r>
      <w:r w:rsidRPr="00800D22">
        <w:rPr>
          <w:rFonts w:hint="eastAsia"/>
        </w:rPr>
        <w:t>AA-</w:t>
      </w:r>
      <w:r w:rsidRPr="00800D22">
        <w:rPr>
          <w:rFonts w:hint="eastAsia"/>
        </w:rPr>
        <w:t>以上的</w:t>
      </w:r>
      <w:r w:rsidRPr="00800D22">
        <w:rPr>
          <w:rFonts w:hint="eastAsia"/>
        </w:rPr>
        <w:t>139</w:t>
      </w:r>
      <w:r w:rsidRPr="00800D22">
        <w:rPr>
          <w:rFonts w:hint="eastAsia"/>
        </w:rPr>
        <w:t>只。在</w:t>
      </w:r>
      <w:r w:rsidRPr="00800D22">
        <w:rPr>
          <w:rFonts w:hint="eastAsia"/>
        </w:rPr>
        <w:t>168</w:t>
      </w:r>
      <w:r w:rsidRPr="00800D22">
        <w:rPr>
          <w:rFonts w:hint="eastAsia"/>
        </w:rPr>
        <w:t>只样本短</w:t>
      </w:r>
      <w:proofErr w:type="gramStart"/>
      <w:r w:rsidRPr="00800D22">
        <w:rPr>
          <w:rFonts w:hint="eastAsia"/>
        </w:rPr>
        <w:t>券</w:t>
      </w:r>
      <w:proofErr w:type="gramEnd"/>
      <w:r w:rsidRPr="00800D22">
        <w:rPr>
          <w:rFonts w:hint="eastAsia"/>
        </w:rPr>
        <w:t>中，我们根据交易次数的多少，剔除交易日数少于</w:t>
      </w:r>
      <w:r w:rsidRPr="00800D22">
        <w:rPr>
          <w:rFonts w:hint="eastAsia"/>
        </w:rPr>
        <w:t>20</w:t>
      </w:r>
      <w:r w:rsidRPr="00800D22">
        <w:rPr>
          <w:rFonts w:hint="eastAsia"/>
        </w:rPr>
        <w:t>天的样本，因此本文列入样本数据的短</w:t>
      </w:r>
      <w:proofErr w:type="gramStart"/>
      <w:r w:rsidRPr="00800D22">
        <w:rPr>
          <w:rFonts w:hint="eastAsia"/>
        </w:rPr>
        <w:t>券</w:t>
      </w:r>
      <w:proofErr w:type="gramEnd"/>
      <w:r w:rsidRPr="00800D22">
        <w:rPr>
          <w:rFonts w:hint="eastAsia"/>
        </w:rPr>
        <w:t>一共</w:t>
      </w:r>
      <w:r w:rsidRPr="00800D22">
        <w:rPr>
          <w:rFonts w:hint="eastAsia"/>
        </w:rPr>
        <w:t>52</w:t>
      </w:r>
      <w:r w:rsidRPr="00800D22">
        <w:rPr>
          <w:rFonts w:hint="eastAsia"/>
        </w:rPr>
        <w:t>只，其中主体级别为</w:t>
      </w:r>
      <w:r w:rsidRPr="00800D22">
        <w:rPr>
          <w:rFonts w:hint="eastAsia"/>
        </w:rPr>
        <w:t>AA-</w:t>
      </w:r>
      <w:r w:rsidRPr="00800D22">
        <w:rPr>
          <w:rFonts w:hint="eastAsia"/>
        </w:rPr>
        <w:t>以上的短</w:t>
      </w:r>
      <w:proofErr w:type="gramStart"/>
      <w:r w:rsidRPr="00800D22">
        <w:rPr>
          <w:rFonts w:hint="eastAsia"/>
        </w:rPr>
        <w:t>券</w:t>
      </w:r>
      <w:proofErr w:type="gramEnd"/>
      <w:r w:rsidRPr="00800D22">
        <w:rPr>
          <w:rFonts w:hint="eastAsia"/>
        </w:rPr>
        <w:t>共</w:t>
      </w:r>
      <w:r w:rsidRPr="00800D22">
        <w:rPr>
          <w:rFonts w:hint="eastAsia"/>
        </w:rPr>
        <w:t>42</w:t>
      </w:r>
      <w:r w:rsidRPr="00800D22">
        <w:rPr>
          <w:rFonts w:hint="eastAsia"/>
        </w:rPr>
        <w:t>只，主体级别为</w:t>
      </w:r>
      <w:r w:rsidRPr="00800D22">
        <w:rPr>
          <w:rFonts w:hint="eastAsia"/>
        </w:rPr>
        <w:t>AA-</w:t>
      </w:r>
      <w:r w:rsidRPr="00800D22">
        <w:rPr>
          <w:rFonts w:hint="eastAsia"/>
        </w:rPr>
        <w:t>以下的短</w:t>
      </w:r>
      <w:proofErr w:type="gramStart"/>
      <w:r w:rsidRPr="00800D22">
        <w:rPr>
          <w:rFonts w:hint="eastAsia"/>
        </w:rPr>
        <w:t>券</w:t>
      </w:r>
      <w:proofErr w:type="gramEnd"/>
      <w:r w:rsidRPr="00800D22">
        <w:rPr>
          <w:rFonts w:hint="eastAsia"/>
        </w:rPr>
        <w:t>共</w:t>
      </w:r>
      <w:r w:rsidRPr="00800D22">
        <w:rPr>
          <w:rFonts w:hint="eastAsia"/>
        </w:rPr>
        <w:t>10</w:t>
      </w:r>
      <w:r w:rsidRPr="00800D22">
        <w:rPr>
          <w:rFonts w:hint="eastAsia"/>
        </w:rPr>
        <w:t>只。</w:t>
      </w:r>
    </w:p>
    <w:p w14:paraId="72A42B89" w14:textId="77777777" w:rsidR="00307F5A" w:rsidRPr="00800D22" w:rsidRDefault="00307F5A" w:rsidP="00307F5A">
      <w:pPr>
        <w:spacing w:line="440" w:lineRule="exact"/>
        <w:ind w:firstLineChars="200" w:firstLine="422"/>
        <w:rPr>
          <w:b/>
          <w:szCs w:val="21"/>
        </w:rPr>
      </w:pPr>
      <w:r w:rsidRPr="00800D22">
        <w:rPr>
          <w:rFonts w:hint="eastAsia"/>
          <w:b/>
          <w:szCs w:val="21"/>
        </w:rPr>
        <w:t>（四）实证模型</w:t>
      </w:r>
    </w:p>
    <w:p w14:paraId="1F272912" w14:textId="77777777" w:rsidR="00307F5A" w:rsidRPr="00800D22" w:rsidRDefault="00307F5A" w:rsidP="00307F5A">
      <w:pPr>
        <w:spacing w:line="440" w:lineRule="exact"/>
        <w:ind w:firstLineChars="200" w:firstLine="420"/>
      </w:pPr>
      <w:r w:rsidRPr="00800D22">
        <w:rPr>
          <w:rFonts w:hint="eastAsia"/>
        </w:rPr>
        <w:t>由于本文选用的数据为</w:t>
      </w:r>
      <w:r w:rsidRPr="00800D22">
        <w:rPr>
          <w:rFonts w:hint="eastAsia"/>
        </w:rPr>
        <w:t>10</w:t>
      </w:r>
      <w:r w:rsidRPr="00800D22">
        <w:rPr>
          <w:rFonts w:hint="eastAsia"/>
        </w:rPr>
        <w:t>亿元短</w:t>
      </w:r>
      <w:proofErr w:type="gramStart"/>
      <w:r w:rsidRPr="00800D22">
        <w:rPr>
          <w:rFonts w:hint="eastAsia"/>
        </w:rPr>
        <w:t>券</w:t>
      </w:r>
      <w:proofErr w:type="gramEnd"/>
      <w:r w:rsidRPr="00800D22">
        <w:rPr>
          <w:rFonts w:hint="eastAsia"/>
        </w:rPr>
        <w:t>的交易数据，且短</w:t>
      </w:r>
      <w:proofErr w:type="gramStart"/>
      <w:r w:rsidRPr="00800D22">
        <w:rPr>
          <w:rFonts w:hint="eastAsia"/>
        </w:rPr>
        <w:t>券</w:t>
      </w:r>
      <w:proofErr w:type="gramEnd"/>
      <w:r w:rsidRPr="00800D22">
        <w:rPr>
          <w:rFonts w:hint="eastAsia"/>
        </w:rPr>
        <w:t>交易是在银行间债券市场进行，因此发行额度、交易场所、交易机制等因素对样本债券流动性影响相同。增加保险机构投资者后，</w:t>
      </w:r>
      <w:r w:rsidRPr="00800D22">
        <w:rPr>
          <w:rFonts w:hint="eastAsia"/>
        </w:rPr>
        <w:t>AA-</w:t>
      </w:r>
      <w:r w:rsidRPr="00800D22">
        <w:rPr>
          <w:rFonts w:hint="eastAsia"/>
        </w:rPr>
        <w:t>级以上的短</w:t>
      </w:r>
      <w:proofErr w:type="gramStart"/>
      <w:r w:rsidRPr="00800D22">
        <w:rPr>
          <w:rFonts w:hint="eastAsia"/>
        </w:rPr>
        <w:t>券</w:t>
      </w:r>
      <w:proofErr w:type="gramEnd"/>
      <w:r w:rsidRPr="00800D22">
        <w:rPr>
          <w:rFonts w:hint="eastAsia"/>
        </w:rPr>
        <w:t>增加了投资主体，利差水平也相应降低，从样本债券利差和保险机构是否投资两个解释变量的相关性看，二者的相关性程度高，因此本文剔除了债券利差作为影响债券市场流动性的因素。本文将债券交易量、债券风险、到期期限、债券市场交易主体结构等作为样本债券市场流动性的解释变量。回归模型如下所示：</w:t>
      </w:r>
    </w:p>
    <w:p w14:paraId="3C5F6C95" w14:textId="77777777" w:rsidR="00307F5A" w:rsidRPr="00800D22" w:rsidRDefault="00307F5A" w:rsidP="00307F5A">
      <w:pPr>
        <w:spacing w:line="440" w:lineRule="exact"/>
      </w:pPr>
      <w:r w:rsidRPr="00800D22">
        <w:rPr>
          <w:position w:val="-12"/>
        </w:rPr>
        <w:object w:dxaOrig="9880" w:dyaOrig="360" w14:anchorId="0B7DB8B9">
          <v:shape id="_x0000_i1034" type="#_x0000_t75" style="width:453.5pt;height:18pt" o:ole="">
            <v:imagedata r:id="rId21" o:title=""/>
          </v:shape>
          <o:OLEObject Type="Embed" ProgID="Equation.DSMT4" ShapeID="_x0000_i1034" DrawAspect="Content" ObjectID="_1822575161" r:id="rId22"/>
        </w:object>
      </w:r>
      <w:r w:rsidRPr="00800D22">
        <w:rPr>
          <w:rFonts w:hint="eastAsia"/>
        </w:rPr>
        <w:t xml:space="preserve">    </w:t>
      </w:r>
      <w:r w:rsidRPr="00800D22">
        <w:rPr>
          <w:rFonts w:hint="eastAsia"/>
        </w:rPr>
        <w:t>其中</w:t>
      </w:r>
      <w:r w:rsidRPr="00800D22">
        <w:rPr>
          <w:position w:val="-12"/>
        </w:rPr>
        <w:object w:dxaOrig="940" w:dyaOrig="360" w14:anchorId="71243A57">
          <v:shape id="_x0000_i1035" type="#_x0000_t75" style="width:47pt;height:18pt" o:ole="">
            <v:imagedata r:id="rId23" o:title=""/>
          </v:shape>
          <o:OLEObject Type="Embed" ProgID="Equation.DSMT4" ShapeID="_x0000_i1035" DrawAspect="Content" ObjectID="_1822575162" r:id="rId24"/>
        </w:object>
      </w:r>
      <w:r w:rsidRPr="00800D22">
        <w:rPr>
          <w:rFonts w:hint="eastAsia"/>
        </w:rPr>
        <w:t>、</w:t>
      </w:r>
      <w:r w:rsidRPr="00800D22">
        <w:rPr>
          <w:position w:val="-12"/>
        </w:rPr>
        <w:object w:dxaOrig="900" w:dyaOrig="360" w14:anchorId="15DF1119">
          <v:shape id="_x0000_i1036" type="#_x0000_t75" style="width:45pt;height:18pt" o:ole="">
            <v:imagedata r:id="rId25" o:title=""/>
          </v:shape>
          <o:OLEObject Type="Embed" ProgID="Equation.DSMT4" ShapeID="_x0000_i1036" DrawAspect="Content" ObjectID="_1822575163" r:id="rId26"/>
        </w:object>
      </w:r>
      <w:r w:rsidRPr="00800D22">
        <w:rPr>
          <w:rFonts w:hint="eastAsia"/>
        </w:rPr>
        <w:t>、</w:t>
      </w:r>
      <w:r w:rsidRPr="00800D22">
        <w:rPr>
          <w:position w:val="-12"/>
        </w:rPr>
        <w:object w:dxaOrig="1400" w:dyaOrig="360" w14:anchorId="299F985E">
          <v:shape id="_x0000_i1037" type="#_x0000_t75" style="width:70pt;height:18pt" o:ole="">
            <v:imagedata r:id="rId27" o:title=""/>
          </v:shape>
          <o:OLEObject Type="Embed" ProgID="Equation.DSMT4" ShapeID="_x0000_i1037" DrawAspect="Content" ObjectID="_1822575164" r:id="rId28"/>
        </w:object>
      </w:r>
      <w:r w:rsidRPr="00800D22">
        <w:rPr>
          <w:rFonts w:hint="eastAsia"/>
        </w:rPr>
        <w:t>分别表示短</w:t>
      </w:r>
      <w:proofErr w:type="gramStart"/>
      <w:r w:rsidRPr="00800D22">
        <w:rPr>
          <w:rFonts w:hint="eastAsia"/>
        </w:rPr>
        <w:t>券</w:t>
      </w:r>
      <w:proofErr w:type="spellStart"/>
      <w:proofErr w:type="gramEnd"/>
      <w:r w:rsidRPr="00800D22">
        <w:rPr>
          <w:rFonts w:hint="eastAsia"/>
        </w:rPr>
        <w:t>i</w:t>
      </w:r>
      <w:proofErr w:type="spellEnd"/>
      <w:r w:rsidRPr="00800D22">
        <w:rPr>
          <w:rFonts w:hint="eastAsia"/>
        </w:rPr>
        <w:t>在时刻</w:t>
      </w:r>
      <w:r w:rsidRPr="00800D22">
        <w:rPr>
          <w:rFonts w:hint="eastAsia"/>
        </w:rPr>
        <w:t>t</w:t>
      </w:r>
      <w:r w:rsidRPr="00800D22">
        <w:rPr>
          <w:rFonts w:hint="eastAsia"/>
        </w:rPr>
        <w:t>的流动性水平、成交量、到期期限，</w:t>
      </w:r>
      <w:r w:rsidRPr="00800D22">
        <w:rPr>
          <w:position w:val="-12"/>
        </w:rPr>
        <w:object w:dxaOrig="2720" w:dyaOrig="360" w14:anchorId="6AA50F09">
          <v:shape id="_x0000_i1038" type="#_x0000_t75" style="width:136pt;height:18pt" o:ole="">
            <v:imagedata r:id="rId29" o:title=""/>
          </v:shape>
          <o:OLEObject Type="Embed" ProgID="Equation.DSMT4" ShapeID="_x0000_i1038" DrawAspect="Content" ObjectID="_1822575165" r:id="rId30"/>
        </w:object>
      </w:r>
      <w:r w:rsidRPr="00800D22">
        <w:rPr>
          <w:rFonts w:hint="eastAsia"/>
        </w:rPr>
        <w:t>分别表示短</w:t>
      </w:r>
      <w:proofErr w:type="gramStart"/>
      <w:r w:rsidRPr="00800D22">
        <w:rPr>
          <w:rFonts w:hint="eastAsia"/>
        </w:rPr>
        <w:t>券</w:t>
      </w:r>
      <w:proofErr w:type="spellStart"/>
      <w:proofErr w:type="gramEnd"/>
      <w:r w:rsidRPr="00800D22">
        <w:rPr>
          <w:rFonts w:hint="eastAsia"/>
        </w:rPr>
        <w:t>i</w:t>
      </w:r>
      <w:proofErr w:type="spellEnd"/>
      <w:r w:rsidRPr="00800D22">
        <w:rPr>
          <w:rFonts w:hint="eastAsia"/>
        </w:rPr>
        <w:t>的主体级别是否符合保险公司的投资要求。这里，</w:t>
      </w:r>
      <w:r w:rsidRPr="00800D22">
        <w:rPr>
          <w:position w:val="-12"/>
        </w:rPr>
        <w:object w:dxaOrig="2720" w:dyaOrig="360" w14:anchorId="593EB1A5">
          <v:shape id="_x0000_i1039" type="#_x0000_t75" style="width:136pt;height:18pt" o:ole="">
            <v:imagedata r:id="rId29" o:title=""/>
          </v:shape>
          <o:OLEObject Type="Embed" ProgID="Equation.DSMT4" ShapeID="_x0000_i1039" DrawAspect="Content" ObjectID="_1822575166" r:id="rId31"/>
        </w:object>
      </w:r>
      <w:r w:rsidRPr="00800D22">
        <w:rPr>
          <w:rFonts w:hint="eastAsia"/>
        </w:rPr>
        <w:t>为虚拟变量，若短</w:t>
      </w:r>
      <w:proofErr w:type="gramStart"/>
      <w:r w:rsidRPr="00800D22">
        <w:rPr>
          <w:rFonts w:hint="eastAsia"/>
        </w:rPr>
        <w:t>券</w:t>
      </w:r>
      <w:proofErr w:type="spellStart"/>
      <w:proofErr w:type="gramEnd"/>
      <w:r w:rsidRPr="00800D22">
        <w:rPr>
          <w:rFonts w:hint="eastAsia"/>
        </w:rPr>
        <w:t>i</w:t>
      </w:r>
      <w:proofErr w:type="spellEnd"/>
      <w:r w:rsidRPr="00800D22">
        <w:rPr>
          <w:rFonts w:hint="eastAsia"/>
        </w:rPr>
        <w:t>的主体级别为</w:t>
      </w:r>
      <w:r w:rsidRPr="00800D22">
        <w:rPr>
          <w:rFonts w:hint="eastAsia"/>
        </w:rPr>
        <w:t>AA-</w:t>
      </w:r>
      <w:r w:rsidRPr="00800D22">
        <w:rPr>
          <w:rFonts w:hint="eastAsia"/>
        </w:rPr>
        <w:t>级以上，那么</w:t>
      </w:r>
      <w:r w:rsidRPr="00800D22">
        <w:rPr>
          <w:position w:val="-12"/>
        </w:rPr>
        <w:object w:dxaOrig="2720" w:dyaOrig="360" w14:anchorId="5531FDED">
          <v:shape id="_x0000_i1040" type="#_x0000_t75" style="width:136pt;height:18pt" o:ole="">
            <v:imagedata r:id="rId29" o:title=""/>
          </v:shape>
          <o:OLEObject Type="Embed" ProgID="Equation.DSMT4" ShapeID="_x0000_i1040" DrawAspect="Content" ObjectID="_1822575167" r:id="rId32"/>
        </w:object>
      </w:r>
      <w:r w:rsidRPr="00800D22">
        <w:rPr>
          <w:rFonts w:hint="eastAsia"/>
        </w:rPr>
        <w:t>为</w:t>
      </w:r>
      <w:r w:rsidRPr="00800D22">
        <w:rPr>
          <w:rFonts w:hint="eastAsia"/>
        </w:rPr>
        <w:t>1</w:t>
      </w:r>
      <w:r w:rsidRPr="00800D22">
        <w:rPr>
          <w:rFonts w:hint="eastAsia"/>
        </w:rPr>
        <w:t>；若短</w:t>
      </w:r>
      <w:proofErr w:type="gramStart"/>
      <w:r w:rsidRPr="00800D22">
        <w:rPr>
          <w:rFonts w:hint="eastAsia"/>
        </w:rPr>
        <w:t>券</w:t>
      </w:r>
      <w:proofErr w:type="spellStart"/>
      <w:proofErr w:type="gramEnd"/>
      <w:r w:rsidRPr="00800D22">
        <w:rPr>
          <w:rFonts w:hint="eastAsia"/>
        </w:rPr>
        <w:t>i</w:t>
      </w:r>
      <w:proofErr w:type="spellEnd"/>
      <w:r w:rsidRPr="00800D22">
        <w:rPr>
          <w:rFonts w:hint="eastAsia"/>
        </w:rPr>
        <w:t>的主体级别为</w:t>
      </w:r>
      <w:r w:rsidRPr="00800D22">
        <w:rPr>
          <w:rFonts w:hint="eastAsia"/>
        </w:rPr>
        <w:t>AA-</w:t>
      </w:r>
      <w:r w:rsidRPr="00800D22">
        <w:rPr>
          <w:rFonts w:hint="eastAsia"/>
        </w:rPr>
        <w:t>级以下，那么</w:t>
      </w:r>
      <w:r w:rsidRPr="00800D22">
        <w:rPr>
          <w:position w:val="-12"/>
        </w:rPr>
        <w:object w:dxaOrig="2720" w:dyaOrig="360" w14:anchorId="79E75804">
          <v:shape id="_x0000_i1041" type="#_x0000_t75" style="width:136pt;height:18pt" o:ole="">
            <v:imagedata r:id="rId29" o:title=""/>
          </v:shape>
          <o:OLEObject Type="Embed" ProgID="Equation.DSMT4" ShapeID="_x0000_i1041" DrawAspect="Content" ObjectID="_1822575168" r:id="rId33"/>
        </w:object>
      </w:r>
      <w:r w:rsidRPr="00800D22">
        <w:rPr>
          <w:rFonts w:hint="eastAsia"/>
        </w:rPr>
        <w:t>为</w:t>
      </w:r>
      <w:r w:rsidRPr="00800D22">
        <w:rPr>
          <w:rFonts w:hint="eastAsia"/>
        </w:rPr>
        <w:t>0</w:t>
      </w:r>
      <w:r w:rsidRPr="00800D22">
        <w:rPr>
          <w:rFonts w:hint="eastAsia"/>
        </w:rPr>
        <w:t>。</w:t>
      </w:r>
    </w:p>
    <w:p w14:paraId="33D57030" w14:textId="77777777" w:rsidR="00307F5A" w:rsidRPr="00800D22" w:rsidRDefault="00307F5A" w:rsidP="00307F5A">
      <w:pPr>
        <w:spacing w:line="440" w:lineRule="exact"/>
        <w:ind w:firstLineChars="200" w:firstLine="420"/>
      </w:pPr>
      <w:r w:rsidRPr="00800D22">
        <w:rPr>
          <w:rFonts w:hint="eastAsia"/>
        </w:rPr>
        <w:t>根据前面的分析，本文预测各个参数的符号如下：</w:t>
      </w:r>
    </w:p>
    <w:p w14:paraId="1E3DB609" w14:textId="77777777" w:rsidR="00307F5A" w:rsidRPr="00800D22" w:rsidRDefault="00307F5A" w:rsidP="00307F5A">
      <w:pPr>
        <w:pStyle w:val="ae"/>
        <w:spacing w:beforeLines="100" w:before="312"/>
        <w:jc w:val="center"/>
        <w:rPr>
          <w:rFonts w:ascii="Times New Roman" w:eastAsia="新宋体" w:hAnsi="新宋体" w:cs="Times New Roman"/>
          <w:sz w:val="21"/>
          <w:szCs w:val="21"/>
        </w:rPr>
      </w:pPr>
      <w:bookmarkStart w:id="3" w:name="_Toc256506930"/>
      <w:r w:rsidRPr="00800D22">
        <w:rPr>
          <w:rFonts w:ascii="Times New Roman" w:eastAsia="新宋体" w:hAnsi="新宋体" w:cs="Times New Roman" w:hint="eastAsia"/>
          <w:sz w:val="21"/>
          <w:szCs w:val="21"/>
        </w:rPr>
        <w:t>附表</w:t>
      </w:r>
      <w:r w:rsidRPr="00800D22">
        <w:rPr>
          <w:rFonts w:ascii="Times New Roman" w:eastAsia="新宋体" w:hAnsi="新宋体" w:cs="Times New Roman"/>
          <w:sz w:val="21"/>
          <w:szCs w:val="21"/>
        </w:rPr>
        <w:fldChar w:fldCharType="begin"/>
      </w:r>
      <w:r w:rsidRPr="00800D22">
        <w:rPr>
          <w:rFonts w:ascii="Times New Roman" w:eastAsia="新宋体" w:hAnsi="新宋体" w:cs="Times New Roman"/>
          <w:sz w:val="21"/>
          <w:szCs w:val="21"/>
        </w:rPr>
        <w:instrText xml:space="preserve"> </w:instrText>
      </w:r>
      <w:r w:rsidRPr="00800D22">
        <w:rPr>
          <w:rFonts w:ascii="Times New Roman" w:eastAsia="新宋体" w:hAnsi="新宋体" w:cs="Times New Roman" w:hint="eastAsia"/>
          <w:sz w:val="21"/>
          <w:szCs w:val="21"/>
        </w:rPr>
        <w:instrText xml:space="preserve">SEQ </w:instrText>
      </w:r>
      <w:r w:rsidRPr="00800D22">
        <w:rPr>
          <w:rFonts w:ascii="Times New Roman" w:eastAsia="新宋体" w:hAnsi="新宋体" w:cs="Times New Roman" w:hint="eastAsia"/>
          <w:sz w:val="21"/>
          <w:szCs w:val="21"/>
        </w:rPr>
        <w:instrText>附表</w:instrText>
      </w:r>
      <w:r w:rsidRPr="00800D22">
        <w:rPr>
          <w:rFonts w:ascii="Times New Roman" w:eastAsia="新宋体" w:hAnsi="新宋体" w:cs="Times New Roman" w:hint="eastAsia"/>
          <w:sz w:val="21"/>
          <w:szCs w:val="21"/>
        </w:rPr>
        <w:instrText xml:space="preserve"> \* ARABIC</w:instrText>
      </w:r>
      <w:r w:rsidRPr="00800D22">
        <w:rPr>
          <w:rFonts w:ascii="Times New Roman" w:eastAsia="新宋体" w:hAnsi="新宋体" w:cs="Times New Roman"/>
          <w:sz w:val="21"/>
          <w:szCs w:val="21"/>
        </w:rPr>
        <w:instrText xml:space="preserve"> </w:instrText>
      </w:r>
      <w:r w:rsidRPr="00800D22">
        <w:rPr>
          <w:rFonts w:ascii="Times New Roman" w:eastAsia="新宋体" w:hAnsi="新宋体" w:cs="Times New Roman"/>
          <w:sz w:val="21"/>
          <w:szCs w:val="21"/>
        </w:rPr>
        <w:fldChar w:fldCharType="separate"/>
      </w:r>
      <w:r w:rsidRPr="00800D22">
        <w:rPr>
          <w:rFonts w:ascii="Times New Roman" w:eastAsia="新宋体" w:hAnsi="新宋体" w:cs="Times New Roman"/>
          <w:sz w:val="21"/>
          <w:szCs w:val="21"/>
        </w:rPr>
        <w:t>3</w:t>
      </w:r>
      <w:r w:rsidRPr="00800D22">
        <w:rPr>
          <w:rFonts w:ascii="Times New Roman" w:eastAsia="新宋体" w:hAnsi="新宋体" w:cs="Times New Roman"/>
          <w:sz w:val="21"/>
          <w:szCs w:val="21"/>
        </w:rPr>
        <w:fldChar w:fldCharType="end"/>
      </w:r>
      <w:r w:rsidRPr="00800D22">
        <w:rPr>
          <w:rFonts w:ascii="Times New Roman" w:eastAsia="新宋体" w:hAnsi="新宋体" w:cs="Times New Roman" w:hint="eastAsia"/>
          <w:sz w:val="21"/>
          <w:szCs w:val="21"/>
        </w:rPr>
        <w:t xml:space="preserve">  </w:t>
      </w:r>
      <w:r w:rsidRPr="00800D22">
        <w:rPr>
          <w:rFonts w:ascii="Times New Roman" w:eastAsia="新宋体" w:hAnsi="新宋体" w:cs="Times New Roman" w:hint="eastAsia"/>
          <w:sz w:val="21"/>
          <w:szCs w:val="21"/>
        </w:rPr>
        <w:t>实证检验结果符号假设</w:t>
      </w:r>
      <w:bookmarkEnd w:id="3"/>
    </w:p>
    <w:p w14:paraId="407D2D85" w14:textId="77777777" w:rsidR="00307F5A" w:rsidRPr="00800D22" w:rsidRDefault="00307F5A" w:rsidP="00307F5A">
      <w:pPr>
        <w:jc w:val="center"/>
        <w:rPr>
          <w:szCs w:val="21"/>
        </w:rPr>
      </w:pPr>
      <w:r w:rsidRPr="00800D22">
        <w:rPr>
          <w:rFonts w:hint="eastAsia"/>
          <w:szCs w:val="21"/>
        </w:rPr>
        <w:t>A</w:t>
      </w:r>
      <w:r w:rsidRPr="00800D22">
        <w:rPr>
          <w:szCs w:val="21"/>
        </w:rPr>
        <w:t>ttached table</w:t>
      </w:r>
      <w:r w:rsidRPr="00800D22">
        <w:rPr>
          <w:rFonts w:hint="eastAsia"/>
          <w:szCs w:val="21"/>
        </w:rPr>
        <w:t xml:space="preserve"> 3  S</w:t>
      </w:r>
      <w:r w:rsidRPr="00800D22">
        <w:rPr>
          <w:szCs w:val="21"/>
        </w:rPr>
        <w:t xml:space="preserve">ign hypothesis </w:t>
      </w:r>
      <w:r w:rsidRPr="00800D22">
        <w:rPr>
          <w:rFonts w:hint="eastAsia"/>
          <w:szCs w:val="21"/>
        </w:rPr>
        <w:t xml:space="preserve">of </w:t>
      </w:r>
      <w:r w:rsidRPr="00800D22">
        <w:rPr>
          <w:szCs w:val="21"/>
        </w:rPr>
        <w:t>Empirical Tests results</w:t>
      </w:r>
    </w:p>
    <w:tbl>
      <w:tblPr>
        <w:tblW w:w="5000" w:type="pct"/>
        <w:tblBorders>
          <w:top w:val="single" w:sz="4" w:space="0" w:color="auto"/>
          <w:bottom w:val="single" w:sz="4" w:space="0" w:color="auto"/>
        </w:tblBorders>
        <w:tblLook w:val="01E0" w:firstRow="1" w:lastRow="1" w:firstColumn="1" w:lastColumn="1" w:noHBand="0" w:noVBand="0"/>
      </w:tblPr>
      <w:tblGrid>
        <w:gridCol w:w="1728"/>
        <w:gridCol w:w="900"/>
        <w:gridCol w:w="719"/>
        <w:gridCol w:w="5175"/>
      </w:tblGrid>
      <w:tr w:rsidR="00307F5A" w:rsidRPr="00800D22" w14:paraId="003D573E" w14:textId="77777777" w:rsidTr="00573A00">
        <w:tc>
          <w:tcPr>
            <w:tcW w:w="1014" w:type="pct"/>
            <w:tcBorders>
              <w:top w:val="single" w:sz="4" w:space="0" w:color="auto"/>
              <w:bottom w:val="single" w:sz="4" w:space="0" w:color="auto"/>
            </w:tcBorders>
            <w:vAlign w:val="center"/>
          </w:tcPr>
          <w:p w14:paraId="1D480E47" w14:textId="77777777" w:rsidR="00307F5A" w:rsidRPr="00800D22" w:rsidRDefault="00307F5A" w:rsidP="00573A00">
            <w:pPr>
              <w:adjustRightInd w:val="0"/>
              <w:snapToGrid w:val="0"/>
              <w:spacing w:line="360" w:lineRule="exact"/>
              <w:rPr>
                <w:szCs w:val="21"/>
              </w:rPr>
            </w:pPr>
            <w:r w:rsidRPr="00800D22">
              <w:rPr>
                <w:rFonts w:hint="eastAsia"/>
                <w:szCs w:val="21"/>
              </w:rPr>
              <w:t>解释变量</w:t>
            </w:r>
          </w:p>
        </w:tc>
        <w:tc>
          <w:tcPr>
            <w:tcW w:w="528" w:type="pct"/>
            <w:tcBorders>
              <w:top w:val="single" w:sz="4" w:space="0" w:color="auto"/>
              <w:bottom w:val="single" w:sz="4" w:space="0" w:color="auto"/>
            </w:tcBorders>
            <w:vAlign w:val="center"/>
          </w:tcPr>
          <w:p w14:paraId="70586DCA" w14:textId="77777777" w:rsidR="00307F5A" w:rsidRPr="00800D22" w:rsidRDefault="00307F5A" w:rsidP="00573A00">
            <w:pPr>
              <w:adjustRightInd w:val="0"/>
              <w:snapToGrid w:val="0"/>
              <w:spacing w:line="360" w:lineRule="exact"/>
              <w:rPr>
                <w:szCs w:val="21"/>
              </w:rPr>
            </w:pPr>
            <w:r w:rsidRPr="00800D22">
              <w:rPr>
                <w:rFonts w:hint="eastAsia"/>
                <w:szCs w:val="21"/>
              </w:rPr>
              <w:t>参数</w:t>
            </w:r>
          </w:p>
        </w:tc>
        <w:tc>
          <w:tcPr>
            <w:tcW w:w="422" w:type="pct"/>
            <w:tcBorders>
              <w:top w:val="single" w:sz="4" w:space="0" w:color="auto"/>
              <w:bottom w:val="single" w:sz="4" w:space="0" w:color="auto"/>
            </w:tcBorders>
            <w:vAlign w:val="center"/>
          </w:tcPr>
          <w:p w14:paraId="0B78E0D6" w14:textId="77777777" w:rsidR="00307F5A" w:rsidRPr="00800D22" w:rsidRDefault="00307F5A" w:rsidP="00573A00">
            <w:pPr>
              <w:adjustRightInd w:val="0"/>
              <w:snapToGrid w:val="0"/>
              <w:spacing w:line="360" w:lineRule="exact"/>
              <w:rPr>
                <w:szCs w:val="21"/>
              </w:rPr>
            </w:pPr>
            <w:r w:rsidRPr="00800D22">
              <w:rPr>
                <w:rFonts w:hint="eastAsia"/>
                <w:szCs w:val="21"/>
              </w:rPr>
              <w:t>符号</w:t>
            </w:r>
          </w:p>
        </w:tc>
        <w:tc>
          <w:tcPr>
            <w:tcW w:w="3036" w:type="pct"/>
            <w:tcBorders>
              <w:top w:val="single" w:sz="4" w:space="0" w:color="auto"/>
              <w:bottom w:val="single" w:sz="4" w:space="0" w:color="auto"/>
            </w:tcBorders>
            <w:vAlign w:val="center"/>
          </w:tcPr>
          <w:p w14:paraId="37562E5C" w14:textId="77777777" w:rsidR="00307F5A" w:rsidRPr="00800D22" w:rsidRDefault="00307F5A" w:rsidP="00573A00">
            <w:pPr>
              <w:adjustRightInd w:val="0"/>
              <w:snapToGrid w:val="0"/>
              <w:spacing w:line="360" w:lineRule="exact"/>
              <w:rPr>
                <w:szCs w:val="21"/>
              </w:rPr>
            </w:pPr>
            <w:r w:rsidRPr="00800D22">
              <w:rPr>
                <w:rFonts w:hint="eastAsia"/>
                <w:szCs w:val="21"/>
              </w:rPr>
              <w:t>意义</w:t>
            </w:r>
          </w:p>
        </w:tc>
      </w:tr>
      <w:tr w:rsidR="00307F5A" w:rsidRPr="00800D22" w14:paraId="64452890" w14:textId="77777777" w:rsidTr="00573A00">
        <w:tc>
          <w:tcPr>
            <w:tcW w:w="1014" w:type="pct"/>
            <w:tcBorders>
              <w:top w:val="single" w:sz="4" w:space="0" w:color="auto"/>
            </w:tcBorders>
            <w:vAlign w:val="center"/>
          </w:tcPr>
          <w:p w14:paraId="4C489481" w14:textId="77777777" w:rsidR="00307F5A" w:rsidRPr="00800D22" w:rsidRDefault="00307F5A" w:rsidP="00573A00">
            <w:pPr>
              <w:adjustRightInd w:val="0"/>
              <w:snapToGrid w:val="0"/>
              <w:spacing w:line="360" w:lineRule="exact"/>
              <w:rPr>
                <w:sz w:val="18"/>
                <w:szCs w:val="18"/>
              </w:rPr>
            </w:pPr>
            <w:r w:rsidRPr="00800D22">
              <w:rPr>
                <w:rFonts w:hint="eastAsia"/>
                <w:sz w:val="18"/>
                <w:szCs w:val="18"/>
              </w:rPr>
              <w:t>交易量</w:t>
            </w:r>
          </w:p>
        </w:tc>
        <w:tc>
          <w:tcPr>
            <w:tcW w:w="528" w:type="pct"/>
            <w:tcBorders>
              <w:top w:val="single" w:sz="4" w:space="0" w:color="auto"/>
            </w:tcBorders>
            <w:vAlign w:val="center"/>
          </w:tcPr>
          <w:p w14:paraId="1775EE70" w14:textId="77777777" w:rsidR="00307F5A" w:rsidRPr="00800D22" w:rsidRDefault="00307F5A" w:rsidP="00573A00">
            <w:pPr>
              <w:adjustRightInd w:val="0"/>
              <w:snapToGrid w:val="0"/>
              <w:spacing w:line="360" w:lineRule="exact"/>
              <w:rPr>
                <w:sz w:val="18"/>
                <w:szCs w:val="18"/>
              </w:rPr>
            </w:pPr>
            <w:r w:rsidRPr="00800D22">
              <w:rPr>
                <w:rFonts w:hint="eastAsia"/>
                <w:sz w:val="18"/>
                <w:szCs w:val="18"/>
              </w:rPr>
              <w:t>C</w:t>
            </w:r>
            <w:r w:rsidRPr="00800D22">
              <w:rPr>
                <w:rFonts w:hint="eastAsia"/>
                <w:sz w:val="18"/>
                <w:szCs w:val="18"/>
                <w:vertAlign w:val="subscript"/>
              </w:rPr>
              <w:t>1</w:t>
            </w:r>
          </w:p>
        </w:tc>
        <w:tc>
          <w:tcPr>
            <w:tcW w:w="422" w:type="pct"/>
            <w:tcBorders>
              <w:top w:val="single" w:sz="4" w:space="0" w:color="auto"/>
            </w:tcBorders>
            <w:vAlign w:val="center"/>
          </w:tcPr>
          <w:p w14:paraId="2248EAD3" w14:textId="77777777" w:rsidR="00307F5A" w:rsidRPr="00800D22" w:rsidRDefault="00307F5A" w:rsidP="00573A00">
            <w:pPr>
              <w:adjustRightInd w:val="0"/>
              <w:snapToGrid w:val="0"/>
              <w:spacing w:line="360" w:lineRule="exact"/>
              <w:rPr>
                <w:sz w:val="18"/>
                <w:szCs w:val="18"/>
              </w:rPr>
            </w:pPr>
            <w:r w:rsidRPr="00800D22">
              <w:rPr>
                <w:rFonts w:hint="eastAsia"/>
                <w:sz w:val="18"/>
                <w:szCs w:val="18"/>
              </w:rPr>
              <w:t>正</w:t>
            </w:r>
          </w:p>
        </w:tc>
        <w:tc>
          <w:tcPr>
            <w:tcW w:w="3036" w:type="pct"/>
            <w:tcBorders>
              <w:top w:val="single" w:sz="4" w:space="0" w:color="auto"/>
            </w:tcBorders>
            <w:vAlign w:val="center"/>
          </w:tcPr>
          <w:p w14:paraId="6265539A" w14:textId="77777777" w:rsidR="00307F5A" w:rsidRPr="00800D22" w:rsidRDefault="00307F5A" w:rsidP="00573A00">
            <w:pPr>
              <w:adjustRightInd w:val="0"/>
              <w:snapToGrid w:val="0"/>
              <w:spacing w:line="360" w:lineRule="exact"/>
              <w:rPr>
                <w:sz w:val="18"/>
                <w:szCs w:val="18"/>
              </w:rPr>
            </w:pPr>
            <w:r w:rsidRPr="00800D22">
              <w:rPr>
                <w:sz w:val="18"/>
                <w:szCs w:val="18"/>
              </w:rPr>
              <w:t>价差</w:t>
            </w:r>
            <w:proofErr w:type="gramStart"/>
            <w:r w:rsidRPr="00800D22">
              <w:rPr>
                <w:sz w:val="18"/>
                <w:szCs w:val="18"/>
              </w:rPr>
              <w:t>随交易</w:t>
            </w:r>
            <w:proofErr w:type="gramEnd"/>
            <w:r w:rsidRPr="00800D22">
              <w:rPr>
                <w:sz w:val="18"/>
                <w:szCs w:val="18"/>
              </w:rPr>
              <w:t>量的增加而减小，</w:t>
            </w:r>
            <w:r w:rsidRPr="00800D22">
              <w:rPr>
                <w:rFonts w:hint="eastAsia"/>
                <w:sz w:val="18"/>
                <w:szCs w:val="18"/>
              </w:rPr>
              <w:t>流动性</w:t>
            </w:r>
            <w:proofErr w:type="gramStart"/>
            <w:r w:rsidRPr="00800D22">
              <w:rPr>
                <w:sz w:val="18"/>
                <w:szCs w:val="18"/>
              </w:rPr>
              <w:t>随交易</w:t>
            </w:r>
            <w:proofErr w:type="gramEnd"/>
            <w:r w:rsidRPr="00800D22">
              <w:rPr>
                <w:sz w:val="18"/>
                <w:szCs w:val="18"/>
              </w:rPr>
              <w:t>量的增加而增大</w:t>
            </w:r>
          </w:p>
        </w:tc>
      </w:tr>
      <w:tr w:rsidR="00307F5A" w:rsidRPr="00800D22" w14:paraId="3FA6CE63" w14:textId="77777777" w:rsidTr="00573A00">
        <w:tc>
          <w:tcPr>
            <w:tcW w:w="1014" w:type="pct"/>
            <w:vAlign w:val="center"/>
          </w:tcPr>
          <w:p w14:paraId="4C32128D" w14:textId="77777777" w:rsidR="00307F5A" w:rsidRPr="00800D22" w:rsidRDefault="00307F5A" w:rsidP="00573A00">
            <w:pPr>
              <w:adjustRightInd w:val="0"/>
              <w:snapToGrid w:val="0"/>
              <w:spacing w:line="360" w:lineRule="exact"/>
              <w:rPr>
                <w:sz w:val="18"/>
                <w:szCs w:val="18"/>
              </w:rPr>
            </w:pPr>
            <w:r w:rsidRPr="00800D22">
              <w:rPr>
                <w:rFonts w:hint="eastAsia"/>
                <w:sz w:val="18"/>
                <w:szCs w:val="18"/>
              </w:rPr>
              <w:t>债券风险</w:t>
            </w:r>
          </w:p>
        </w:tc>
        <w:tc>
          <w:tcPr>
            <w:tcW w:w="528" w:type="pct"/>
            <w:vAlign w:val="center"/>
          </w:tcPr>
          <w:p w14:paraId="37FE76D3" w14:textId="77777777" w:rsidR="00307F5A" w:rsidRPr="00800D22" w:rsidRDefault="00307F5A" w:rsidP="00573A00">
            <w:pPr>
              <w:adjustRightInd w:val="0"/>
              <w:snapToGrid w:val="0"/>
              <w:spacing w:line="360" w:lineRule="exact"/>
              <w:rPr>
                <w:sz w:val="18"/>
                <w:szCs w:val="18"/>
              </w:rPr>
            </w:pPr>
            <w:r w:rsidRPr="00800D22">
              <w:rPr>
                <w:rFonts w:hint="eastAsia"/>
                <w:sz w:val="18"/>
                <w:szCs w:val="18"/>
              </w:rPr>
              <w:t>C</w:t>
            </w:r>
            <w:r w:rsidRPr="00800D22">
              <w:rPr>
                <w:rFonts w:hint="eastAsia"/>
                <w:sz w:val="18"/>
                <w:szCs w:val="18"/>
                <w:vertAlign w:val="subscript"/>
              </w:rPr>
              <w:t>2</w:t>
            </w:r>
          </w:p>
        </w:tc>
        <w:tc>
          <w:tcPr>
            <w:tcW w:w="422" w:type="pct"/>
            <w:vAlign w:val="center"/>
          </w:tcPr>
          <w:p w14:paraId="3821610F" w14:textId="77777777" w:rsidR="00307F5A" w:rsidRPr="00800D22" w:rsidRDefault="00307F5A" w:rsidP="00573A00">
            <w:pPr>
              <w:adjustRightInd w:val="0"/>
              <w:snapToGrid w:val="0"/>
              <w:spacing w:line="360" w:lineRule="exact"/>
              <w:rPr>
                <w:sz w:val="18"/>
                <w:szCs w:val="18"/>
              </w:rPr>
            </w:pPr>
            <w:r w:rsidRPr="00800D22">
              <w:rPr>
                <w:rFonts w:hint="eastAsia"/>
                <w:sz w:val="18"/>
                <w:szCs w:val="18"/>
              </w:rPr>
              <w:t>负</w:t>
            </w:r>
          </w:p>
        </w:tc>
        <w:tc>
          <w:tcPr>
            <w:tcW w:w="3036" w:type="pct"/>
            <w:vAlign w:val="center"/>
          </w:tcPr>
          <w:p w14:paraId="73953F35" w14:textId="77777777" w:rsidR="00307F5A" w:rsidRPr="00800D22" w:rsidRDefault="00307F5A" w:rsidP="00573A00">
            <w:pPr>
              <w:adjustRightInd w:val="0"/>
              <w:snapToGrid w:val="0"/>
              <w:spacing w:line="360" w:lineRule="exact"/>
              <w:rPr>
                <w:sz w:val="18"/>
                <w:szCs w:val="18"/>
              </w:rPr>
            </w:pPr>
            <w:r w:rsidRPr="00800D22">
              <w:rPr>
                <w:sz w:val="18"/>
                <w:szCs w:val="18"/>
              </w:rPr>
              <w:t>债券风险越大意味着市场中投资者对未来价格的预期之间存在的差异越大，因此在指令驱动的市场中买卖报价价差也就越大</w:t>
            </w:r>
          </w:p>
        </w:tc>
      </w:tr>
      <w:tr w:rsidR="00307F5A" w:rsidRPr="00800D22" w14:paraId="6CCDE86B" w14:textId="77777777" w:rsidTr="00573A00">
        <w:tc>
          <w:tcPr>
            <w:tcW w:w="1014" w:type="pct"/>
            <w:vAlign w:val="center"/>
          </w:tcPr>
          <w:p w14:paraId="7D4888CC" w14:textId="77777777" w:rsidR="00307F5A" w:rsidRPr="00800D22" w:rsidRDefault="00307F5A" w:rsidP="00573A00">
            <w:pPr>
              <w:adjustRightInd w:val="0"/>
              <w:snapToGrid w:val="0"/>
              <w:spacing w:line="360" w:lineRule="exact"/>
              <w:rPr>
                <w:sz w:val="18"/>
                <w:szCs w:val="18"/>
              </w:rPr>
            </w:pPr>
            <w:r w:rsidRPr="00800D22">
              <w:rPr>
                <w:rFonts w:hint="eastAsia"/>
                <w:sz w:val="18"/>
                <w:szCs w:val="18"/>
              </w:rPr>
              <w:t>到期期限</w:t>
            </w:r>
          </w:p>
        </w:tc>
        <w:tc>
          <w:tcPr>
            <w:tcW w:w="528" w:type="pct"/>
            <w:vAlign w:val="center"/>
          </w:tcPr>
          <w:p w14:paraId="62B4FC55" w14:textId="77777777" w:rsidR="00307F5A" w:rsidRPr="00800D22" w:rsidRDefault="00307F5A" w:rsidP="00573A00">
            <w:pPr>
              <w:adjustRightInd w:val="0"/>
              <w:snapToGrid w:val="0"/>
              <w:spacing w:line="360" w:lineRule="exact"/>
              <w:rPr>
                <w:sz w:val="18"/>
                <w:szCs w:val="18"/>
              </w:rPr>
            </w:pPr>
            <w:r w:rsidRPr="00800D22">
              <w:rPr>
                <w:rFonts w:hint="eastAsia"/>
                <w:sz w:val="18"/>
                <w:szCs w:val="18"/>
              </w:rPr>
              <w:t>C</w:t>
            </w:r>
            <w:r w:rsidRPr="00800D22">
              <w:rPr>
                <w:rFonts w:hint="eastAsia"/>
                <w:sz w:val="18"/>
                <w:szCs w:val="18"/>
                <w:vertAlign w:val="subscript"/>
              </w:rPr>
              <w:t>3</w:t>
            </w:r>
          </w:p>
        </w:tc>
        <w:tc>
          <w:tcPr>
            <w:tcW w:w="422" w:type="pct"/>
            <w:vAlign w:val="center"/>
          </w:tcPr>
          <w:p w14:paraId="54413D64" w14:textId="77777777" w:rsidR="00307F5A" w:rsidRPr="00800D22" w:rsidRDefault="00307F5A" w:rsidP="00573A00">
            <w:pPr>
              <w:adjustRightInd w:val="0"/>
              <w:snapToGrid w:val="0"/>
              <w:spacing w:line="360" w:lineRule="exact"/>
              <w:rPr>
                <w:sz w:val="18"/>
                <w:szCs w:val="18"/>
              </w:rPr>
            </w:pPr>
            <w:r w:rsidRPr="00800D22">
              <w:rPr>
                <w:rFonts w:hint="eastAsia"/>
                <w:sz w:val="18"/>
                <w:szCs w:val="18"/>
              </w:rPr>
              <w:t>负</w:t>
            </w:r>
          </w:p>
        </w:tc>
        <w:tc>
          <w:tcPr>
            <w:tcW w:w="3036" w:type="pct"/>
            <w:vAlign w:val="center"/>
          </w:tcPr>
          <w:p w14:paraId="65DD1079" w14:textId="77777777" w:rsidR="00307F5A" w:rsidRPr="00800D22" w:rsidRDefault="00307F5A" w:rsidP="00573A00">
            <w:pPr>
              <w:adjustRightInd w:val="0"/>
              <w:snapToGrid w:val="0"/>
              <w:spacing w:line="360" w:lineRule="exact"/>
              <w:rPr>
                <w:sz w:val="18"/>
                <w:szCs w:val="18"/>
              </w:rPr>
            </w:pPr>
            <w:r w:rsidRPr="00800D22">
              <w:rPr>
                <w:rFonts w:hint="eastAsia"/>
                <w:sz w:val="18"/>
                <w:szCs w:val="18"/>
              </w:rPr>
              <w:t>到期期限越长，流动性较差</w:t>
            </w:r>
          </w:p>
        </w:tc>
      </w:tr>
      <w:tr w:rsidR="00307F5A" w:rsidRPr="00800D22" w14:paraId="12CB4721" w14:textId="77777777" w:rsidTr="00573A00">
        <w:tc>
          <w:tcPr>
            <w:tcW w:w="1014" w:type="pct"/>
            <w:vAlign w:val="center"/>
          </w:tcPr>
          <w:p w14:paraId="325A3161" w14:textId="77777777" w:rsidR="00307F5A" w:rsidRPr="00800D22" w:rsidRDefault="00307F5A" w:rsidP="00573A00">
            <w:pPr>
              <w:adjustRightInd w:val="0"/>
              <w:snapToGrid w:val="0"/>
              <w:spacing w:line="360" w:lineRule="exact"/>
              <w:rPr>
                <w:sz w:val="18"/>
                <w:szCs w:val="18"/>
              </w:rPr>
            </w:pPr>
            <w:r w:rsidRPr="00800D22">
              <w:rPr>
                <w:rFonts w:hint="eastAsia"/>
                <w:sz w:val="18"/>
                <w:szCs w:val="18"/>
              </w:rPr>
              <w:t>保险机构能否投资</w:t>
            </w:r>
          </w:p>
        </w:tc>
        <w:tc>
          <w:tcPr>
            <w:tcW w:w="528" w:type="pct"/>
            <w:vAlign w:val="center"/>
          </w:tcPr>
          <w:p w14:paraId="49252E47" w14:textId="77777777" w:rsidR="00307F5A" w:rsidRPr="00800D22" w:rsidRDefault="00307F5A" w:rsidP="00573A00">
            <w:pPr>
              <w:adjustRightInd w:val="0"/>
              <w:snapToGrid w:val="0"/>
              <w:spacing w:line="360" w:lineRule="exact"/>
              <w:rPr>
                <w:sz w:val="18"/>
                <w:szCs w:val="18"/>
              </w:rPr>
            </w:pPr>
            <w:r w:rsidRPr="00800D22">
              <w:rPr>
                <w:rFonts w:hint="eastAsia"/>
                <w:sz w:val="18"/>
                <w:szCs w:val="18"/>
              </w:rPr>
              <w:t>C</w:t>
            </w:r>
            <w:r w:rsidRPr="00800D22">
              <w:rPr>
                <w:rFonts w:hint="eastAsia"/>
                <w:sz w:val="18"/>
                <w:szCs w:val="18"/>
                <w:vertAlign w:val="subscript"/>
              </w:rPr>
              <w:t>4</w:t>
            </w:r>
          </w:p>
        </w:tc>
        <w:tc>
          <w:tcPr>
            <w:tcW w:w="422" w:type="pct"/>
            <w:vAlign w:val="center"/>
          </w:tcPr>
          <w:p w14:paraId="326D440B" w14:textId="77777777" w:rsidR="00307F5A" w:rsidRPr="00800D22" w:rsidRDefault="00307F5A" w:rsidP="00573A00">
            <w:pPr>
              <w:adjustRightInd w:val="0"/>
              <w:snapToGrid w:val="0"/>
              <w:spacing w:line="360" w:lineRule="exact"/>
              <w:rPr>
                <w:sz w:val="18"/>
                <w:szCs w:val="18"/>
              </w:rPr>
            </w:pPr>
            <w:r w:rsidRPr="00800D22">
              <w:rPr>
                <w:rFonts w:hint="eastAsia"/>
                <w:sz w:val="18"/>
                <w:szCs w:val="18"/>
              </w:rPr>
              <w:t>是</w:t>
            </w:r>
          </w:p>
        </w:tc>
        <w:tc>
          <w:tcPr>
            <w:tcW w:w="3036" w:type="pct"/>
            <w:vAlign w:val="center"/>
          </w:tcPr>
          <w:p w14:paraId="24D82334" w14:textId="77777777" w:rsidR="00307F5A" w:rsidRPr="00800D22" w:rsidRDefault="00307F5A" w:rsidP="00573A00">
            <w:pPr>
              <w:adjustRightInd w:val="0"/>
              <w:snapToGrid w:val="0"/>
              <w:spacing w:line="360" w:lineRule="exact"/>
              <w:rPr>
                <w:sz w:val="18"/>
                <w:szCs w:val="18"/>
              </w:rPr>
            </w:pPr>
            <w:r w:rsidRPr="00800D22">
              <w:rPr>
                <w:rFonts w:hint="eastAsia"/>
                <w:sz w:val="18"/>
                <w:szCs w:val="18"/>
              </w:rPr>
              <w:t>保险机构投资增加债券市场的流动性</w:t>
            </w:r>
          </w:p>
        </w:tc>
      </w:tr>
    </w:tbl>
    <w:p w14:paraId="1B746A2C" w14:textId="77777777" w:rsidR="00307F5A" w:rsidRPr="00800D22" w:rsidRDefault="00307F5A" w:rsidP="00307F5A">
      <w:pPr>
        <w:spacing w:line="440" w:lineRule="exact"/>
        <w:ind w:firstLineChars="200" w:firstLine="422"/>
        <w:rPr>
          <w:b/>
          <w:szCs w:val="21"/>
        </w:rPr>
      </w:pPr>
    </w:p>
    <w:p w14:paraId="5C19E1C4" w14:textId="77777777" w:rsidR="00307F5A" w:rsidRPr="00800D22" w:rsidRDefault="00307F5A" w:rsidP="00307F5A">
      <w:pPr>
        <w:spacing w:line="440" w:lineRule="exact"/>
        <w:ind w:firstLineChars="200" w:firstLine="422"/>
        <w:rPr>
          <w:b/>
          <w:szCs w:val="21"/>
        </w:rPr>
      </w:pPr>
      <w:r w:rsidRPr="00800D22">
        <w:rPr>
          <w:rFonts w:hint="eastAsia"/>
          <w:b/>
          <w:szCs w:val="21"/>
        </w:rPr>
        <w:t>（五）回归结果</w:t>
      </w:r>
    </w:p>
    <w:p w14:paraId="67F6F67D" w14:textId="77777777" w:rsidR="00307F5A" w:rsidRPr="00800D22" w:rsidRDefault="00307F5A" w:rsidP="00307F5A">
      <w:pPr>
        <w:spacing w:line="440" w:lineRule="exact"/>
        <w:ind w:firstLine="435"/>
      </w:pPr>
      <w:r w:rsidRPr="00800D22">
        <w:rPr>
          <w:rFonts w:hint="eastAsia"/>
        </w:rPr>
        <w:t>运用</w:t>
      </w:r>
      <w:r w:rsidRPr="00800D22">
        <w:rPr>
          <w:rFonts w:hint="eastAsia"/>
        </w:rPr>
        <w:t>SPSS</w:t>
      </w:r>
      <w:r w:rsidRPr="00800D22">
        <w:rPr>
          <w:rFonts w:hint="eastAsia"/>
        </w:rPr>
        <w:t>软件，模型的回归结果如附表</w:t>
      </w:r>
      <w:r w:rsidRPr="00800D22">
        <w:rPr>
          <w:rFonts w:hint="eastAsia"/>
        </w:rPr>
        <w:t>4</w:t>
      </w:r>
      <w:r w:rsidRPr="00800D22">
        <w:rPr>
          <w:rFonts w:hint="eastAsia"/>
        </w:rPr>
        <w:t>所示。</w:t>
      </w:r>
    </w:p>
    <w:p w14:paraId="085B14E5" w14:textId="77777777" w:rsidR="00307F5A" w:rsidRPr="00800D22" w:rsidRDefault="00307F5A" w:rsidP="00307F5A">
      <w:pPr>
        <w:pStyle w:val="ae"/>
        <w:spacing w:beforeLines="100" w:before="312"/>
        <w:jc w:val="center"/>
        <w:rPr>
          <w:rFonts w:ascii="Times New Roman" w:eastAsia="新宋体" w:hAnsi="新宋体" w:cs="Times New Roman"/>
          <w:sz w:val="21"/>
          <w:szCs w:val="21"/>
        </w:rPr>
      </w:pPr>
      <w:bookmarkStart w:id="4" w:name="_Toc256506931"/>
      <w:r w:rsidRPr="00800D22">
        <w:rPr>
          <w:rFonts w:ascii="Times New Roman" w:eastAsia="新宋体" w:hAnsi="新宋体" w:cs="Times New Roman" w:hint="eastAsia"/>
          <w:sz w:val="21"/>
          <w:szCs w:val="21"/>
        </w:rPr>
        <w:t>附表</w:t>
      </w:r>
      <w:r w:rsidRPr="00800D22">
        <w:rPr>
          <w:rFonts w:ascii="Times New Roman" w:eastAsia="新宋体" w:hAnsi="新宋体" w:cs="Times New Roman"/>
          <w:sz w:val="21"/>
          <w:szCs w:val="21"/>
        </w:rPr>
        <w:fldChar w:fldCharType="begin"/>
      </w:r>
      <w:r w:rsidRPr="00800D22">
        <w:rPr>
          <w:rFonts w:ascii="Times New Roman" w:eastAsia="新宋体" w:hAnsi="新宋体" w:cs="Times New Roman"/>
          <w:sz w:val="21"/>
          <w:szCs w:val="21"/>
        </w:rPr>
        <w:instrText xml:space="preserve"> </w:instrText>
      </w:r>
      <w:r w:rsidRPr="00800D22">
        <w:rPr>
          <w:rFonts w:ascii="Times New Roman" w:eastAsia="新宋体" w:hAnsi="新宋体" w:cs="Times New Roman" w:hint="eastAsia"/>
          <w:sz w:val="21"/>
          <w:szCs w:val="21"/>
        </w:rPr>
        <w:instrText xml:space="preserve">SEQ </w:instrText>
      </w:r>
      <w:r w:rsidRPr="00800D22">
        <w:rPr>
          <w:rFonts w:ascii="Times New Roman" w:eastAsia="新宋体" w:hAnsi="新宋体" w:cs="Times New Roman" w:hint="eastAsia"/>
          <w:sz w:val="21"/>
          <w:szCs w:val="21"/>
        </w:rPr>
        <w:instrText>附表</w:instrText>
      </w:r>
      <w:r w:rsidRPr="00800D22">
        <w:rPr>
          <w:rFonts w:ascii="Times New Roman" w:eastAsia="新宋体" w:hAnsi="新宋体" w:cs="Times New Roman" w:hint="eastAsia"/>
          <w:sz w:val="21"/>
          <w:szCs w:val="21"/>
        </w:rPr>
        <w:instrText xml:space="preserve"> \* ARABIC</w:instrText>
      </w:r>
      <w:r w:rsidRPr="00800D22">
        <w:rPr>
          <w:rFonts w:ascii="Times New Roman" w:eastAsia="新宋体" w:hAnsi="新宋体" w:cs="Times New Roman"/>
          <w:sz w:val="21"/>
          <w:szCs w:val="21"/>
        </w:rPr>
        <w:instrText xml:space="preserve"> </w:instrText>
      </w:r>
      <w:r w:rsidRPr="00800D22">
        <w:rPr>
          <w:rFonts w:ascii="Times New Roman" w:eastAsia="新宋体" w:hAnsi="新宋体" w:cs="Times New Roman"/>
          <w:sz w:val="21"/>
          <w:szCs w:val="21"/>
        </w:rPr>
        <w:fldChar w:fldCharType="separate"/>
      </w:r>
      <w:r w:rsidRPr="00800D22">
        <w:rPr>
          <w:rFonts w:ascii="Times New Roman" w:eastAsia="新宋体" w:hAnsi="新宋体" w:cs="Times New Roman"/>
          <w:sz w:val="21"/>
          <w:szCs w:val="21"/>
        </w:rPr>
        <w:t>4</w:t>
      </w:r>
      <w:r w:rsidRPr="00800D22">
        <w:rPr>
          <w:rFonts w:ascii="Times New Roman" w:eastAsia="新宋体" w:hAnsi="新宋体" w:cs="Times New Roman"/>
          <w:sz w:val="21"/>
          <w:szCs w:val="21"/>
        </w:rPr>
        <w:fldChar w:fldCharType="end"/>
      </w:r>
      <w:r w:rsidRPr="00800D22">
        <w:rPr>
          <w:rFonts w:ascii="Times New Roman" w:eastAsia="新宋体" w:hAnsi="新宋体" w:cs="Times New Roman" w:hint="eastAsia"/>
          <w:sz w:val="21"/>
          <w:szCs w:val="21"/>
        </w:rPr>
        <w:t xml:space="preserve">  </w:t>
      </w:r>
      <w:r w:rsidRPr="00800D22">
        <w:rPr>
          <w:rFonts w:ascii="Times New Roman" w:eastAsia="新宋体" w:hAnsi="新宋体" w:cs="Times New Roman" w:hint="eastAsia"/>
          <w:sz w:val="21"/>
          <w:szCs w:val="21"/>
        </w:rPr>
        <w:t>模型回归结果</w:t>
      </w:r>
      <w:bookmarkEnd w:id="4"/>
    </w:p>
    <w:p w14:paraId="293D55DB" w14:textId="77777777" w:rsidR="00307F5A" w:rsidRPr="00800D22" w:rsidRDefault="00307F5A" w:rsidP="00307F5A">
      <w:pPr>
        <w:jc w:val="center"/>
        <w:rPr>
          <w:szCs w:val="21"/>
        </w:rPr>
      </w:pPr>
      <w:r w:rsidRPr="00800D22">
        <w:rPr>
          <w:rFonts w:hint="eastAsia"/>
          <w:szCs w:val="21"/>
        </w:rPr>
        <w:t>A</w:t>
      </w:r>
      <w:r w:rsidRPr="00800D22">
        <w:rPr>
          <w:szCs w:val="21"/>
        </w:rPr>
        <w:t>ttached table</w:t>
      </w:r>
      <w:r w:rsidRPr="00800D22">
        <w:rPr>
          <w:rFonts w:hint="eastAsia"/>
          <w:szCs w:val="21"/>
        </w:rPr>
        <w:t xml:space="preserve"> 4  R</w:t>
      </w:r>
      <w:r w:rsidRPr="00800D22">
        <w:rPr>
          <w:szCs w:val="21"/>
        </w:rPr>
        <w:t xml:space="preserve">egression results </w:t>
      </w:r>
      <w:r w:rsidRPr="00800D22">
        <w:rPr>
          <w:rFonts w:hint="eastAsia"/>
          <w:szCs w:val="21"/>
        </w:rPr>
        <w:t>of m</w:t>
      </w:r>
      <w:r w:rsidRPr="00800D22">
        <w:rPr>
          <w:szCs w:val="21"/>
        </w:rPr>
        <w:t>odel</w:t>
      </w:r>
    </w:p>
    <w:tbl>
      <w:tblPr>
        <w:tblW w:w="0" w:type="auto"/>
        <w:tblBorders>
          <w:top w:val="single" w:sz="4" w:space="0" w:color="auto"/>
          <w:bottom w:val="single" w:sz="4" w:space="0" w:color="auto"/>
        </w:tblBorders>
        <w:tblLook w:val="01E0" w:firstRow="1" w:lastRow="1" w:firstColumn="1" w:lastColumn="1" w:noHBand="0" w:noVBand="0"/>
      </w:tblPr>
      <w:tblGrid>
        <w:gridCol w:w="1678"/>
        <w:gridCol w:w="1836"/>
        <w:gridCol w:w="1626"/>
        <w:gridCol w:w="1691"/>
        <w:gridCol w:w="1691"/>
      </w:tblGrid>
      <w:tr w:rsidR="00307F5A" w:rsidRPr="00800D22" w14:paraId="20F52C48" w14:textId="77777777" w:rsidTr="00573A00">
        <w:tc>
          <w:tcPr>
            <w:tcW w:w="1678" w:type="dxa"/>
            <w:tcBorders>
              <w:top w:val="single" w:sz="4" w:space="0" w:color="auto"/>
              <w:bottom w:val="single" w:sz="4" w:space="0" w:color="auto"/>
            </w:tcBorders>
            <w:vAlign w:val="center"/>
          </w:tcPr>
          <w:p w14:paraId="31138308" w14:textId="77777777" w:rsidR="00307F5A" w:rsidRPr="00800D22" w:rsidRDefault="00307F5A" w:rsidP="00573A00">
            <w:pPr>
              <w:spacing w:line="360" w:lineRule="exact"/>
              <w:textAlignment w:val="center"/>
            </w:pPr>
            <w:r w:rsidRPr="00800D22">
              <w:t>解释变量</w:t>
            </w:r>
          </w:p>
        </w:tc>
        <w:tc>
          <w:tcPr>
            <w:tcW w:w="1836" w:type="dxa"/>
            <w:tcBorders>
              <w:top w:val="single" w:sz="4" w:space="0" w:color="auto"/>
              <w:bottom w:val="single" w:sz="4" w:space="0" w:color="auto"/>
            </w:tcBorders>
            <w:vAlign w:val="center"/>
          </w:tcPr>
          <w:p w14:paraId="5496A6E4" w14:textId="77777777" w:rsidR="00307F5A" w:rsidRPr="00800D22" w:rsidRDefault="00307F5A" w:rsidP="00573A00">
            <w:pPr>
              <w:spacing w:line="360" w:lineRule="exact"/>
              <w:textAlignment w:val="center"/>
            </w:pPr>
            <w:r w:rsidRPr="00800D22">
              <w:t>估计参数</w:t>
            </w:r>
          </w:p>
        </w:tc>
        <w:tc>
          <w:tcPr>
            <w:tcW w:w="1626" w:type="dxa"/>
            <w:tcBorders>
              <w:top w:val="single" w:sz="4" w:space="0" w:color="auto"/>
              <w:bottom w:val="single" w:sz="4" w:space="0" w:color="auto"/>
            </w:tcBorders>
            <w:vAlign w:val="center"/>
          </w:tcPr>
          <w:p w14:paraId="328D62A1" w14:textId="77777777" w:rsidR="00307F5A" w:rsidRPr="00800D22" w:rsidRDefault="00307F5A" w:rsidP="00573A00">
            <w:pPr>
              <w:spacing w:line="360" w:lineRule="exact"/>
              <w:textAlignment w:val="center"/>
            </w:pPr>
            <w:r w:rsidRPr="00800D22">
              <w:t>标准差</w:t>
            </w:r>
          </w:p>
        </w:tc>
        <w:tc>
          <w:tcPr>
            <w:tcW w:w="1691" w:type="dxa"/>
            <w:tcBorders>
              <w:top w:val="single" w:sz="4" w:space="0" w:color="auto"/>
              <w:bottom w:val="single" w:sz="4" w:space="0" w:color="auto"/>
            </w:tcBorders>
            <w:vAlign w:val="center"/>
          </w:tcPr>
          <w:p w14:paraId="750D803E" w14:textId="77777777" w:rsidR="00307F5A" w:rsidRPr="00800D22" w:rsidRDefault="00307F5A" w:rsidP="00573A00">
            <w:pPr>
              <w:spacing w:line="360" w:lineRule="exact"/>
              <w:textAlignment w:val="center"/>
            </w:pPr>
            <w:r w:rsidRPr="00800D22">
              <w:t>T</w:t>
            </w:r>
            <w:r w:rsidRPr="00800D22">
              <w:t>值</w:t>
            </w:r>
          </w:p>
        </w:tc>
        <w:tc>
          <w:tcPr>
            <w:tcW w:w="1691" w:type="dxa"/>
            <w:tcBorders>
              <w:top w:val="single" w:sz="4" w:space="0" w:color="auto"/>
              <w:bottom w:val="single" w:sz="4" w:space="0" w:color="auto"/>
            </w:tcBorders>
            <w:vAlign w:val="center"/>
          </w:tcPr>
          <w:p w14:paraId="21FDCED9" w14:textId="77777777" w:rsidR="00307F5A" w:rsidRPr="00800D22" w:rsidRDefault="00307F5A" w:rsidP="00573A00">
            <w:pPr>
              <w:spacing w:line="360" w:lineRule="exact"/>
              <w:textAlignment w:val="center"/>
            </w:pPr>
            <w:r w:rsidRPr="00800D22">
              <w:t>P</w:t>
            </w:r>
            <w:r w:rsidRPr="00800D22">
              <w:t>值</w:t>
            </w:r>
          </w:p>
        </w:tc>
      </w:tr>
      <w:tr w:rsidR="00307F5A" w:rsidRPr="00800D22" w14:paraId="36252BF2" w14:textId="77777777" w:rsidTr="00573A00">
        <w:tc>
          <w:tcPr>
            <w:tcW w:w="1678" w:type="dxa"/>
            <w:tcBorders>
              <w:top w:val="single" w:sz="4" w:space="0" w:color="auto"/>
            </w:tcBorders>
            <w:vAlign w:val="center"/>
          </w:tcPr>
          <w:p w14:paraId="78B08AA3" w14:textId="77777777" w:rsidR="00307F5A" w:rsidRPr="00800D22" w:rsidRDefault="00307F5A" w:rsidP="00573A00">
            <w:pPr>
              <w:spacing w:line="360" w:lineRule="exact"/>
              <w:textAlignment w:val="center"/>
              <w:rPr>
                <w:sz w:val="18"/>
                <w:szCs w:val="18"/>
              </w:rPr>
            </w:pPr>
            <w:r w:rsidRPr="00800D22">
              <w:rPr>
                <w:sz w:val="18"/>
                <w:szCs w:val="18"/>
              </w:rPr>
              <w:t>常数</w:t>
            </w:r>
          </w:p>
        </w:tc>
        <w:tc>
          <w:tcPr>
            <w:tcW w:w="1836" w:type="dxa"/>
            <w:tcBorders>
              <w:top w:val="single" w:sz="4" w:space="0" w:color="auto"/>
            </w:tcBorders>
            <w:vAlign w:val="center"/>
          </w:tcPr>
          <w:p w14:paraId="27C3902B" w14:textId="77777777" w:rsidR="00307F5A" w:rsidRPr="00800D22" w:rsidRDefault="00307F5A" w:rsidP="00573A00">
            <w:pPr>
              <w:autoSpaceDE w:val="0"/>
              <w:autoSpaceDN w:val="0"/>
              <w:adjustRightInd w:val="0"/>
              <w:spacing w:line="360" w:lineRule="exact"/>
              <w:textAlignment w:val="center"/>
              <w:rPr>
                <w:kern w:val="0"/>
                <w:sz w:val="18"/>
                <w:szCs w:val="18"/>
              </w:rPr>
            </w:pPr>
            <w:r w:rsidRPr="00800D22">
              <w:rPr>
                <w:kern w:val="0"/>
                <w:sz w:val="18"/>
                <w:szCs w:val="18"/>
              </w:rPr>
              <w:t>1.236</w:t>
            </w:r>
          </w:p>
        </w:tc>
        <w:tc>
          <w:tcPr>
            <w:tcW w:w="1626" w:type="dxa"/>
            <w:tcBorders>
              <w:top w:val="single" w:sz="4" w:space="0" w:color="auto"/>
            </w:tcBorders>
            <w:vAlign w:val="center"/>
          </w:tcPr>
          <w:p w14:paraId="147E8C54" w14:textId="77777777" w:rsidR="00307F5A" w:rsidRPr="00800D22" w:rsidRDefault="00307F5A" w:rsidP="00573A00">
            <w:pPr>
              <w:autoSpaceDE w:val="0"/>
              <w:autoSpaceDN w:val="0"/>
              <w:adjustRightInd w:val="0"/>
              <w:spacing w:line="360" w:lineRule="exact"/>
              <w:textAlignment w:val="center"/>
              <w:rPr>
                <w:kern w:val="0"/>
                <w:sz w:val="18"/>
                <w:szCs w:val="18"/>
              </w:rPr>
            </w:pPr>
            <w:r w:rsidRPr="00800D22">
              <w:rPr>
                <w:kern w:val="0"/>
                <w:sz w:val="18"/>
                <w:szCs w:val="18"/>
              </w:rPr>
              <w:t>.485</w:t>
            </w:r>
          </w:p>
        </w:tc>
        <w:tc>
          <w:tcPr>
            <w:tcW w:w="1691" w:type="dxa"/>
            <w:tcBorders>
              <w:top w:val="single" w:sz="4" w:space="0" w:color="auto"/>
            </w:tcBorders>
            <w:vAlign w:val="center"/>
          </w:tcPr>
          <w:p w14:paraId="55DA29A9" w14:textId="77777777" w:rsidR="00307F5A" w:rsidRPr="00800D22" w:rsidRDefault="00307F5A" w:rsidP="00573A00">
            <w:pPr>
              <w:autoSpaceDE w:val="0"/>
              <w:autoSpaceDN w:val="0"/>
              <w:adjustRightInd w:val="0"/>
              <w:spacing w:line="360" w:lineRule="exact"/>
              <w:textAlignment w:val="center"/>
              <w:rPr>
                <w:kern w:val="0"/>
                <w:sz w:val="18"/>
                <w:szCs w:val="18"/>
              </w:rPr>
            </w:pPr>
            <w:r w:rsidRPr="00800D22">
              <w:rPr>
                <w:kern w:val="0"/>
                <w:sz w:val="18"/>
                <w:szCs w:val="18"/>
              </w:rPr>
              <w:t>2.547</w:t>
            </w:r>
          </w:p>
        </w:tc>
        <w:tc>
          <w:tcPr>
            <w:tcW w:w="1691" w:type="dxa"/>
            <w:tcBorders>
              <w:top w:val="single" w:sz="4" w:space="0" w:color="auto"/>
            </w:tcBorders>
            <w:vAlign w:val="center"/>
          </w:tcPr>
          <w:p w14:paraId="2D7D2C9C" w14:textId="77777777" w:rsidR="00307F5A" w:rsidRPr="00800D22" w:rsidRDefault="00307F5A" w:rsidP="00573A00">
            <w:pPr>
              <w:autoSpaceDE w:val="0"/>
              <w:autoSpaceDN w:val="0"/>
              <w:adjustRightInd w:val="0"/>
              <w:spacing w:line="360" w:lineRule="exact"/>
              <w:textAlignment w:val="center"/>
              <w:rPr>
                <w:kern w:val="0"/>
                <w:sz w:val="18"/>
                <w:szCs w:val="18"/>
              </w:rPr>
            </w:pPr>
            <w:r w:rsidRPr="00800D22">
              <w:rPr>
                <w:kern w:val="0"/>
                <w:sz w:val="18"/>
                <w:szCs w:val="18"/>
              </w:rPr>
              <w:t>.011</w:t>
            </w:r>
          </w:p>
        </w:tc>
      </w:tr>
      <w:tr w:rsidR="00307F5A" w:rsidRPr="00800D22" w14:paraId="1D60F544" w14:textId="77777777" w:rsidTr="00573A00">
        <w:tc>
          <w:tcPr>
            <w:tcW w:w="1678" w:type="dxa"/>
            <w:vAlign w:val="center"/>
          </w:tcPr>
          <w:p w14:paraId="4B13C37F" w14:textId="77777777" w:rsidR="00307F5A" w:rsidRPr="00800D22" w:rsidRDefault="00307F5A" w:rsidP="00573A00">
            <w:pPr>
              <w:spacing w:line="360" w:lineRule="exact"/>
              <w:textAlignment w:val="center"/>
              <w:rPr>
                <w:sz w:val="18"/>
                <w:szCs w:val="18"/>
              </w:rPr>
            </w:pPr>
            <w:r w:rsidRPr="00800D22">
              <w:rPr>
                <w:sz w:val="18"/>
                <w:szCs w:val="18"/>
              </w:rPr>
              <w:t>交易量</w:t>
            </w:r>
          </w:p>
        </w:tc>
        <w:tc>
          <w:tcPr>
            <w:tcW w:w="1836" w:type="dxa"/>
            <w:vAlign w:val="center"/>
          </w:tcPr>
          <w:p w14:paraId="503FBE25" w14:textId="77777777" w:rsidR="00307F5A" w:rsidRPr="00800D22" w:rsidRDefault="00307F5A" w:rsidP="00573A00">
            <w:pPr>
              <w:autoSpaceDE w:val="0"/>
              <w:autoSpaceDN w:val="0"/>
              <w:adjustRightInd w:val="0"/>
              <w:spacing w:line="360" w:lineRule="exact"/>
              <w:textAlignment w:val="center"/>
              <w:rPr>
                <w:kern w:val="0"/>
                <w:sz w:val="18"/>
                <w:szCs w:val="18"/>
              </w:rPr>
            </w:pPr>
            <w:r w:rsidRPr="00800D22">
              <w:rPr>
                <w:kern w:val="0"/>
                <w:sz w:val="18"/>
                <w:szCs w:val="18"/>
              </w:rPr>
              <w:t>.674</w:t>
            </w:r>
          </w:p>
        </w:tc>
        <w:tc>
          <w:tcPr>
            <w:tcW w:w="1626" w:type="dxa"/>
            <w:vAlign w:val="center"/>
          </w:tcPr>
          <w:p w14:paraId="386E7792" w14:textId="77777777" w:rsidR="00307F5A" w:rsidRPr="00800D22" w:rsidRDefault="00307F5A" w:rsidP="00573A00">
            <w:pPr>
              <w:autoSpaceDE w:val="0"/>
              <w:autoSpaceDN w:val="0"/>
              <w:adjustRightInd w:val="0"/>
              <w:spacing w:line="360" w:lineRule="exact"/>
              <w:textAlignment w:val="center"/>
              <w:rPr>
                <w:kern w:val="0"/>
                <w:sz w:val="18"/>
                <w:szCs w:val="18"/>
              </w:rPr>
            </w:pPr>
            <w:r w:rsidRPr="00800D22">
              <w:rPr>
                <w:kern w:val="0"/>
                <w:sz w:val="18"/>
                <w:szCs w:val="18"/>
              </w:rPr>
              <w:t>.049</w:t>
            </w:r>
          </w:p>
        </w:tc>
        <w:tc>
          <w:tcPr>
            <w:tcW w:w="1691" w:type="dxa"/>
            <w:vAlign w:val="center"/>
          </w:tcPr>
          <w:p w14:paraId="00EDE59F" w14:textId="77777777" w:rsidR="00307F5A" w:rsidRPr="00800D22" w:rsidRDefault="00307F5A" w:rsidP="00573A00">
            <w:pPr>
              <w:autoSpaceDE w:val="0"/>
              <w:autoSpaceDN w:val="0"/>
              <w:adjustRightInd w:val="0"/>
              <w:spacing w:line="360" w:lineRule="exact"/>
              <w:textAlignment w:val="center"/>
              <w:rPr>
                <w:kern w:val="0"/>
                <w:sz w:val="18"/>
                <w:szCs w:val="18"/>
              </w:rPr>
            </w:pPr>
            <w:r w:rsidRPr="00800D22">
              <w:rPr>
                <w:kern w:val="0"/>
                <w:sz w:val="18"/>
                <w:szCs w:val="18"/>
              </w:rPr>
              <w:t>13.722</w:t>
            </w:r>
          </w:p>
        </w:tc>
        <w:tc>
          <w:tcPr>
            <w:tcW w:w="1691" w:type="dxa"/>
            <w:vAlign w:val="center"/>
          </w:tcPr>
          <w:p w14:paraId="418EC679" w14:textId="77777777" w:rsidR="00307F5A" w:rsidRPr="00800D22" w:rsidRDefault="00307F5A" w:rsidP="00573A00">
            <w:pPr>
              <w:autoSpaceDE w:val="0"/>
              <w:autoSpaceDN w:val="0"/>
              <w:adjustRightInd w:val="0"/>
              <w:spacing w:line="360" w:lineRule="exact"/>
              <w:textAlignment w:val="center"/>
              <w:rPr>
                <w:kern w:val="0"/>
                <w:sz w:val="18"/>
                <w:szCs w:val="18"/>
              </w:rPr>
            </w:pPr>
            <w:r w:rsidRPr="00800D22">
              <w:rPr>
                <w:kern w:val="0"/>
                <w:sz w:val="18"/>
                <w:szCs w:val="18"/>
              </w:rPr>
              <w:t>.000</w:t>
            </w:r>
          </w:p>
        </w:tc>
      </w:tr>
      <w:tr w:rsidR="00307F5A" w:rsidRPr="00800D22" w14:paraId="23C0717D" w14:textId="77777777" w:rsidTr="00573A00">
        <w:tc>
          <w:tcPr>
            <w:tcW w:w="1678" w:type="dxa"/>
            <w:vAlign w:val="center"/>
          </w:tcPr>
          <w:p w14:paraId="2BADE076" w14:textId="77777777" w:rsidR="00307F5A" w:rsidRPr="00800D22" w:rsidRDefault="00307F5A" w:rsidP="00573A00">
            <w:pPr>
              <w:spacing w:line="360" w:lineRule="exact"/>
              <w:textAlignment w:val="center"/>
              <w:rPr>
                <w:sz w:val="18"/>
                <w:szCs w:val="18"/>
              </w:rPr>
            </w:pPr>
            <w:r w:rsidRPr="00800D22">
              <w:rPr>
                <w:sz w:val="18"/>
                <w:szCs w:val="18"/>
              </w:rPr>
              <w:t>债券风险</w:t>
            </w:r>
          </w:p>
        </w:tc>
        <w:tc>
          <w:tcPr>
            <w:tcW w:w="1836" w:type="dxa"/>
            <w:vAlign w:val="center"/>
          </w:tcPr>
          <w:p w14:paraId="4888CF88" w14:textId="77777777" w:rsidR="00307F5A" w:rsidRPr="00800D22" w:rsidRDefault="00307F5A" w:rsidP="00573A00">
            <w:pPr>
              <w:autoSpaceDE w:val="0"/>
              <w:autoSpaceDN w:val="0"/>
              <w:adjustRightInd w:val="0"/>
              <w:spacing w:line="360" w:lineRule="exact"/>
              <w:textAlignment w:val="center"/>
              <w:rPr>
                <w:kern w:val="0"/>
                <w:sz w:val="18"/>
                <w:szCs w:val="18"/>
              </w:rPr>
            </w:pPr>
            <w:r w:rsidRPr="00800D22">
              <w:rPr>
                <w:kern w:val="0"/>
                <w:sz w:val="18"/>
                <w:szCs w:val="18"/>
              </w:rPr>
              <w:t>-2.942</w:t>
            </w:r>
          </w:p>
        </w:tc>
        <w:tc>
          <w:tcPr>
            <w:tcW w:w="1626" w:type="dxa"/>
            <w:vAlign w:val="center"/>
          </w:tcPr>
          <w:p w14:paraId="438E64E1" w14:textId="77777777" w:rsidR="00307F5A" w:rsidRPr="00800D22" w:rsidRDefault="00307F5A" w:rsidP="00573A00">
            <w:pPr>
              <w:autoSpaceDE w:val="0"/>
              <w:autoSpaceDN w:val="0"/>
              <w:adjustRightInd w:val="0"/>
              <w:spacing w:line="360" w:lineRule="exact"/>
              <w:textAlignment w:val="center"/>
              <w:rPr>
                <w:kern w:val="0"/>
                <w:sz w:val="18"/>
                <w:szCs w:val="18"/>
              </w:rPr>
            </w:pPr>
            <w:r w:rsidRPr="00800D22">
              <w:rPr>
                <w:kern w:val="0"/>
                <w:sz w:val="18"/>
                <w:szCs w:val="18"/>
              </w:rPr>
              <w:t>.166</w:t>
            </w:r>
          </w:p>
        </w:tc>
        <w:tc>
          <w:tcPr>
            <w:tcW w:w="1691" w:type="dxa"/>
            <w:vAlign w:val="center"/>
          </w:tcPr>
          <w:p w14:paraId="48C0E8B9" w14:textId="77777777" w:rsidR="00307F5A" w:rsidRPr="00800D22" w:rsidRDefault="00307F5A" w:rsidP="00573A00">
            <w:pPr>
              <w:autoSpaceDE w:val="0"/>
              <w:autoSpaceDN w:val="0"/>
              <w:adjustRightInd w:val="0"/>
              <w:spacing w:line="360" w:lineRule="exact"/>
              <w:textAlignment w:val="center"/>
              <w:rPr>
                <w:kern w:val="0"/>
                <w:sz w:val="18"/>
                <w:szCs w:val="18"/>
              </w:rPr>
            </w:pPr>
            <w:r w:rsidRPr="00800D22">
              <w:rPr>
                <w:kern w:val="0"/>
                <w:sz w:val="18"/>
                <w:szCs w:val="18"/>
              </w:rPr>
              <w:t>-17.702</w:t>
            </w:r>
          </w:p>
        </w:tc>
        <w:tc>
          <w:tcPr>
            <w:tcW w:w="1691" w:type="dxa"/>
            <w:vAlign w:val="center"/>
          </w:tcPr>
          <w:p w14:paraId="2BACEB02" w14:textId="77777777" w:rsidR="00307F5A" w:rsidRPr="00800D22" w:rsidRDefault="00307F5A" w:rsidP="00573A00">
            <w:pPr>
              <w:autoSpaceDE w:val="0"/>
              <w:autoSpaceDN w:val="0"/>
              <w:adjustRightInd w:val="0"/>
              <w:spacing w:line="360" w:lineRule="exact"/>
              <w:textAlignment w:val="center"/>
              <w:rPr>
                <w:kern w:val="0"/>
                <w:sz w:val="18"/>
                <w:szCs w:val="18"/>
              </w:rPr>
            </w:pPr>
            <w:r w:rsidRPr="00800D22">
              <w:rPr>
                <w:kern w:val="0"/>
                <w:sz w:val="18"/>
                <w:szCs w:val="18"/>
              </w:rPr>
              <w:t>.000</w:t>
            </w:r>
          </w:p>
        </w:tc>
      </w:tr>
      <w:tr w:rsidR="00307F5A" w:rsidRPr="00800D22" w14:paraId="2CC1BA03" w14:textId="77777777" w:rsidTr="00573A00">
        <w:tc>
          <w:tcPr>
            <w:tcW w:w="1678" w:type="dxa"/>
            <w:vAlign w:val="center"/>
          </w:tcPr>
          <w:p w14:paraId="28CE8002" w14:textId="77777777" w:rsidR="00307F5A" w:rsidRPr="00800D22" w:rsidRDefault="00307F5A" w:rsidP="00573A00">
            <w:pPr>
              <w:spacing w:line="360" w:lineRule="exact"/>
              <w:textAlignment w:val="center"/>
              <w:rPr>
                <w:sz w:val="18"/>
                <w:szCs w:val="18"/>
              </w:rPr>
            </w:pPr>
            <w:r w:rsidRPr="00800D22">
              <w:rPr>
                <w:sz w:val="18"/>
                <w:szCs w:val="18"/>
              </w:rPr>
              <w:t>到期期限</w:t>
            </w:r>
          </w:p>
        </w:tc>
        <w:tc>
          <w:tcPr>
            <w:tcW w:w="1836" w:type="dxa"/>
            <w:vAlign w:val="center"/>
          </w:tcPr>
          <w:p w14:paraId="15119E07" w14:textId="77777777" w:rsidR="00307F5A" w:rsidRPr="00800D22" w:rsidRDefault="00307F5A" w:rsidP="00573A00">
            <w:pPr>
              <w:autoSpaceDE w:val="0"/>
              <w:autoSpaceDN w:val="0"/>
              <w:adjustRightInd w:val="0"/>
              <w:spacing w:line="360" w:lineRule="exact"/>
              <w:textAlignment w:val="center"/>
              <w:rPr>
                <w:kern w:val="0"/>
                <w:sz w:val="18"/>
                <w:szCs w:val="18"/>
              </w:rPr>
            </w:pPr>
            <w:r w:rsidRPr="00800D22">
              <w:rPr>
                <w:kern w:val="0"/>
                <w:sz w:val="18"/>
                <w:szCs w:val="18"/>
              </w:rPr>
              <w:t>.017</w:t>
            </w:r>
          </w:p>
        </w:tc>
        <w:tc>
          <w:tcPr>
            <w:tcW w:w="1626" w:type="dxa"/>
            <w:vAlign w:val="center"/>
          </w:tcPr>
          <w:p w14:paraId="5FE82917" w14:textId="77777777" w:rsidR="00307F5A" w:rsidRPr="00800D22" w:rsidRDefault="00307F5A" w:rsidP="00573A00">
            <w:pPr>
              <w:autoSpaceDE w:val="0"/>
              <w:autoSpaceDN w:val="0"/>
              <w:adjustRightInd w:val="0"/>
              <w:spacing w:line="360" w:lineRule="exact"/>
              <w:textAlignment w:val="center"/>
              <w:rPr>
                <w:kern w:val="0"/>
                <w:sz w:val="18"/>
                <w:szCs w:val="18"/>
              </w:rPr>
            </w:pPr>
            <w:r w:rsidRPr="00800D22">
              <w:rPr>
                <w:kern w:val="0"/>
                <w:sz w:val="18"/>
                <w:szCs w:val="18"/>
              </w:rPr>
              <w:t>.016</w:t>
            </w:r>
          </w:p>
        </w:tc>
        <w:tc>
          <w:tcPr>
            <w:tcW w:w="1691" w:type="dxa"/>
            <w:vAlign w:val="center"/>
          </w:tcPr>
          <w:p w14:paraId="687D3A2F" w14:textId="77777777" w:rsidR="00307F5A" w:rsidRPr="00800D22" w:rsidRDefault="00307F5A" w:rsidP="00573A00">
            <w:pPr>
              <w:autoSpaceDE w:val="0"/>
              <w:autoSpaceDN w:val="0"/>
              <w:adjustRightInd w:val="0"/>
              <w:spacing w:line="360" w:lineRule="exact"/>
              <w:textAlignment w:val="center"/>
              <w:rPr>
                <w:kern w:val="0"/>
                <w:sz w:val="18"/>
                <w:szCs w:val="18"/>
              </w:rPr>
            </w:pPr>
            <w:r w:rsidRPr="00800D22">
              <w:rPr>
                <w:kern w:val="0"/>
                <w:sz w:val="18"/>
                <w:szCs w:val="18"/>
              </w:rPr>
              <w:t>1.048</w:t>
            </w:r>
          </w:p>
        </w:tc>
        <w:tc>
          <w:tcPr>
            <w:tcW w:w="1691" w:type="dxa"/>
            <w:vAlign w:val="center"/>
          </w:tcPr>
          <w:p w14:paraId="272E0D52" w14:textId="77777777" w:rsidR="00307F5A" w:rsidRPr="00800D22" w:rsidRDefault="00307F5A" w:rsidP="00573A00">
            <w:pPr>
              <w:autoSpaceDE w:val="0"/>
              <w:autoSpaceDN w:val="0"/>
              <w:adjustRightInd w:val="0"/>
              <w:spacing w:line="360" w:lineRule="exact"/>
              <w:textAlignment w:val="center"/>
              <w:rPr>
                <w:kern w:val="0"/>
                <w:sz w:val="18"/>
                <w:szCs w:val="18"/>
              </w:rPr>
            </w:pPr>
            <w:r w:rsidRPr="00800D22">
              <w:rPr>
                <w:kern w:val="0"/>
                <w:sz w:val="18"/>
                <w:szCs w:val="18"/>
              </w:rPr>
              <w:t>.295</w:t>
            </w:r>
          </w:p>
        </w:tc>
      </w:tr>
      <w:tr w:rsidR="00307F5A" w:rsidRPr="00800D22" w14:paraId="5A369C9C" w14:textId="77777777" w:rsidTr="00573A00">
        <w:tc>
          <w:tcPr>
            <w:tcW w:w="1678" w:type="dxa"/>
            <w:vAlign w:val="center"/>
          </w:tcPr>
          <w:p w14:paraId="1F09D9E9" w14:textId="77777777" w:rsidR="00307F5A" w:rsidRPr="00800D22" w:rsidRDefault="00307F5A" w:rsidP="00573A00">
            <w:pPr>
              <w:spacing w:line="360" w:lineRule="exact"/>
              <w:textAlignment w:val="center"/>
              <w:rPr>
                <w:sz w:val="18"/>
                <w:szCs w:val="18"/>
              </w:rPr>
            </w:pPr>
            <w:r w:rsidRPr="00800D22">
              <w:rPr>
                <w:sz w:val="18"/>
                <w:szCs w:val="18"/>
              </w:rPr>
              <w:t>保险机构能否投资</w:t>
            </w:r>
          </w:p>
        </w:tc>
        <w:tc>
          <w:tcPr>
            <w:tcW w:w="1836" w:type="dxa"/>
            <w:vAlign w:val="center"/>
          </w:tcPr>
          <w:p w14:paraId="57F98ACC" w14:textId="77777777" w:rsidR="00307F5A" w:rsidRPr="00800D22" w:rsidRDefault="00307F5A" w:rsidP="00573A00">
            <w:pPr>
              <w:autoSpaceDE w:val="0"/>
              <w:autoSpaceDN w:val="0"/>
              <w:adjustRightInd w:val="0"/>
              <w:spacing w:line="360" w:lineRule="exact"/>
              <w:textAlignment w:val="center"/>
              <w:rPr>
                <w:kern w:val="0"/>
                <w:sz w:val="18"/>
                <w:szCs w:val="18"/>
              </w:rPr>
            </w:pPr>
            <w:r w:rsidRPr="00800D22">
              <w:rPr>
                <w:kern w:val="0"/>
                <w:sz w:val="18"/>
                <w:szCs w:val="18"/>
              </w:rPr>
              <w:t>.222</w:t>
            </w:r>
          </w:p>
        </w:tc>
        <w:tc>
          <w:tcPr>
            <w:tcW w:w="1626" w:type="dxa"/>
            <w:vAlign w:val="center"/>
          </w:tcPr>
          <w:p w14:paraId="1B4E9512" w14:textId="77777777" w:rsidR="00307F5A" w:rsidRPr="00800D22" w:rsidRDefault="00307F5A" w:rsidP="00573A00">
            <w:pPr>
              <w:autoSpaceDE w:val="0"/>
              <w:autoSpaceDN w:val="0"/>
              <w:adjustRightInd w:val="0"/>
              <w:spacing w:line="360" w:lineRule="exact"/>
              <w:textAlignment w:val="center"/>
              <w:rPr>
                <w:kern w:val="0"/>
                <w:sz w:val="18"/>
                <w:szCs w:val="18"/>
              </w:rPr>
            </w:pPr>
            <w:r w:rsidRPr="00800D22">
              <w:rPr>
                <w:kern w:val="0"/>
                <w:sz w:val="18"/>
                <w:szCs w:val="18"/>
              </w:rPr>
              <w:t>.125</w:t>
            </w:r>
          </w:p>
        </w:tc>
        <w:tc>
          <w:tcPr>
            <w:tcW w:w="1691" w:type="dxa"/>
            <w:vAlign w:val="center"/>
          </w:tcPr>
          <w:p w14:paraId="30B988AA" w14:textId="77777777" w:rsidR="00307F5A" w:rsidRPr="00800D22" w:rsidRDefault="00307F5A" w:rsidP="00573A00">
            <w:pPr>
              <w:autoSpaceDE w:val="0"/>
              <w:autoSpaceDN w:val="0"/>
              <w:adjustRightInd w:val="0"/>
              <w:spacing w:line="360" w:lineRule="exact"/>
              <w:textAlignment w:val="center"/>
              <w:rPr>
                <w:kern w:val="0"/>
                <w:sz w:val="18"/>
                <w:szCs w:val="18"/>
              </w:rPr>
            </w:pPr>
            <w:r w:rsidRPr="00800D22">
              <w:rPr>
                <w:kern w:val="0"/>
                <w:sz w:val="18"/>
                <w:szCs w:val="18"/>
              </w:rPr>
              <w:t>1.781</w:t>
            </w:r>
          </w:p>
        </w:tc>
        <w:tc>
          <w:tcPr>
            <w:tcW w:w="1691" w:type="dxa"/>
            <w:vAlign w:val="center"/>
          </w:tcPr>
          <w:p w14:paraId="58BCB347" w14:textId="77777777" w:rsidR="00307F5A" w:rsidRPr="00800D22" w:rsidRDefault="00307F5A" w:rsidP="00573A00">
            <w:pPr>
              <w:autoSpaceDE w:val="0"/>
              <w:autoSpaceDN w:val="0"/>
              <w:adjustRightInd w:val="0"/>
              <w:spacing w:line="360" w:lineRule="exact"/>
              <w:textAlignment w:val="center"/>
              <w:rPr>
                <w:kern w:val="0"/>
                <w:sz w:val="18"/>
                <w:szCs w:val="18"/>
              </w:rPr>
            </w:pPr>
            <w:r w:rsidRPr="00800D22">
              <w:rPr>
                <w:kern w:val="0"/>
                <w:sz w:val="18"/>
                <w:szCs w:val="18"/>
              </w:rPr>
              <w:t>.076</w:t>
            </w:r>
          </w:p>
        </w:tc>
      </w:tr>
    </w:tbl>
    <w:p w14:paraId="7C22E323" w14:textId="77777777" w:rsidR="00307F5A" w:rsidRPr="00800D22" w:rsidRDefault="00307F5A" w:rsidP="00307F5A">
      <w:pPr>
        <w:spacing w:line="440" w:lineRule="exact"/>
      </w:pPr>
    </w:p>
    <w:p w14:paraId="6170A714" w14:textId="77777777" w:rsidR="00307F5A" w:rsidRPr="00800D22" w:rsidRDefault="00307F5A" w:rsidP="00307F5A">
      <w:pPr>
        <w:spacing w:line="440" w:lineRule="exact"/>
        <w:ind w:firstLine="435"/>
      </w:pPr>
      <w:r w:rsidRPr="00800D22">
        <w:rPr>
          <w:rFonts w:hint="eastAsia"/>
        </w:rPr>
        <w:t>从回归结果上看，除到期期限这个解释变量外，</w:t>
      </w:r>
      <w:proofErr w:type="gramStart"/>
      <w:r w:rsidRPr="00800D22">
        <w:rPr>
          <w:rFonts w:hint="eastAsia"/>
        </w:rPr>
        <w:t>各估计</w:t>
      </w:r>
      <w:proofErr w:type="gramEnd"/>
      <w:r w:rsidRPr="00800D22">
        <w:rPr>
          <w:rFonts w:hint="eastAsia"/>
        </w:rPr>
        <w:t>参数的符号与预期的假设一致；交易量、债券风险和保险机构能否投资这三个解释变量的显著性水平高，而常数和债券到期期限两个解释变量的显著性水平较低。短</w:t>
      </w:r>
      <w:proofErr w:type="gramStart"/>
      <w:r w:rsidRPr="00800D22">
        <w:rPr>
          <w:rFonts w:hint="eastAsia"/>
        </w:rPr>
        <w:t>券</w:t>
      </w:r>
      <w:proofErr w:type="gramEnd"/>
      <w:r w:rsidRPr="00800D22">
        <w:rPr>
          <w:rFonts w:hint="eastAsia"/>
        </w:rPr>
        <w:t>的期限基本上为</w:t>
      </w:r>
      <w:r w:rsidRPr="00800D22">
        <w:rPr>
          <w:rFonts w:hint="eastAsia"/>
        </w:rPr>
        <w:t>1</w:t>
      </w:r>
      <w:r w:rsidRPr="00800D22">
        <w:rPr>
          <w:rFonts w:hint="eastAsia"/>
        </w:rPr>
        <w:t>年，期限较短，债券价格受利率变动的影响程度较小，因此短期的到期期限对债券市场流动性影响不大。</w:t>
      </w:r>
    </w:p>
    <w:p w14:paraId="39C6A3BA" w14:textId="77777777" w:rsidR="00307F5A" w:rsidRPr="00800D22" w:rsidRDefault="00307F5A" w:rsidP="00307F5A">
      <w:pPr>
        <w:spacing w:line="440" w:lineRule="exact"/>
        <w:ind w:firstLine="435"/>
      </w:pPr>
      <w:r w:rsidRPr="00800D22">
        <w:rPr>
          <w:rFonts w:hint="eastAsia"/>
        </w:rPr>
        <w:t>债券交易量和债券风险的估计参数显著性水平极高，说明了债券交易量对市场流动性有着显著的正面影响，债券交易量越大，市场流动性水平越高；债券市场的波动性对市场流动性有着显著的负面影响，债券波动性越大，投资者对价格预期的差异性越大，短</w:t>
      </w:r>
      <w:proofErr w:type="gramStart"/>
      <w:r w:rsidRPr="00800D22">
        <w:rPr>
          <w:rFonts w:hint="eastAsia"/>
        </w:rPr>
        <w:t>券</w:t>
      </w:r>
      <w:proofErr w:type="gramEnd"/>
      <w:r w:rsidRPr="00800D22">
        <w:rPr>
          <w:rFonts w:hint="eastAsia"/>
        </w:rPr>
        <w:t>市场中买卖报价价差也越大，债券市场流动性越差。</w:t>
      </w:r>
    </w:p>
    <w:p w14:paraId="1483DAE8" w14:textId="77777777" w:rsidR="00307F5A" w:rsidRPr="00800D22" w:rsidRDefault="00307F5A" w:rsidP="00307F5A">
      <w:pPr>
        <w:spacing w:line="440" w:lineRule="exact"/>
        <w:ind w:firstLine="435"/>
      </w:pPr>
      <w:r w:rsidRPr="00800D22">
        <w:rPr>
          <w:rFonts w:hint="eastAsia"/>
        </w:rPr>
        <w:t>保险机构能否投资这一估计参数在</w:t>
      </w:r>
      <w:r w:rsidRPr="00800D22">
        <w:rPr>
          <w:rFonts w:hint="eastAsia"/>
        </w:rPr>
        <w:t>10%</w:t>
      </w:r>
      <w:r w:rsidRPr="00800D22">
        <w:rPr>
          <w:rFonts w:hint="eastAsia"/>
        </w:rPr>
        <w:t>的水平上显著，说明了增加保险公司这一机构投资者后，</w:t>
      </w:r>
      <w:r w:rsidRPr="00800D22">
        <w:rPr>
          <w:rFonts w:hint="eastAsia"/>
        </w:rPr>
        <w:t>AA-</w:t>
      </w:r>
      <w:r w:rsidRPr="00800D22">
        <w:rPr>
          <w:rFonts w:hint="eastAsia"/>
        </w:rPr>
        <w:t>级以上的短</w:t>
      </w:r>
      <w:proofErr w:type="gramStart"/>
      <w:r w:rsidRPr="00800D22">
        <w:rPr>
          <w:rFonts w:hint="eastAsia"/>
        </w:rPr>
        <w:t>券</w:t>
      </w:r>
      <w:proofErr w:type="gramEnd"/>
      <w:r w:rsidRPr="00800D22">
        <w:rPr>
          <w:rFonts w:hint="eastAsia"/>
        </w:rPr>
        <w:t>投资者多元化趋势增加，债券市场流动性增加。</w:t>
      </w:r>
    </w:p>
    <w:p w14:paraId="2171C2EF" w14:textId="77777777" w:rsidR="00307F5A" w:rsidRPr="00800D22" w:rsidRDefault="00307F5A" w:rsidP="00307F5A">
      <w:pPr>
        <w:spacing w:beforeLines="100" w:before="312" w:afterLines="100" w:after="312" w:line="440" w:lineRule="exact"/>
        <w:jc w:val="center"/>
        <w:rPr>
          <w:b/>
          <w:sz w:val="24"/>
        </w:rPr>
      </w:pPr>
      <w:r w:rsidRPr="00800D22">
        <w:rPr>
          <w:rFonts w:hint="eastAsia"/>
          <w:b/>
          <w:sz w:val="24"/>
        </w:rPr>
        <w:t>四、结论</w:t>
      </w:r>
    </w:p>
    <w:p w14:paraId="24501DB2" w14:textId="77777777" w:rsidR="00307F5A" w:rsidRPr="00800D22" w:rsidRDefault="00307F5A" w:rsidP="00307F5A">
      <w:pPr>
        <w:spacing w:line="440" w:lineRule="exact"/>
        <w:ind w:firstLineChars="200" w:firstLine="420"/>
        <w:rPr>
          <w:szCs w:val="21"/>
        </w:rPr>
      </w:pPr>
      <w:r w:rsidRPr="00800D22">
        <w:rPr>
          <w:rFonts w:hint="eastAsia"/>
          <w:szCs w:val="21"/>
        </w:rPr>
        <w:t>通过实证分析，探讨了发行额度为</w:t>
      </w:r>
      <w:r w:rsidRPr="00800D22">
        <w:rPr>
          <w:rFonts w:hint="eastAsia"/>
          <w:szCs w:val="21"/>
        </w:rPr>
        <w:t>10</w:t>
      </w:r>
      <w:r w:rsidRPr="00800D22">
        <w:rPr>
          <w:rFonts w:hint="eastAsia"/>
          <w:szCs w:val="21"/>
        </w:rPr>
        <w:t>亿元，主体级别分别为</w:t>
      </w:r>
      <w:r w:rsidRPr="00800D22">
        <w:rPr>
          <w:rFonts w:hint="eastAsia"/>
          <w:szCs w:val="21"/>
        </w:rPr>
        <w:t>AA-</w:t>
      </w:r>
      <w:r w:rsidRPr="00800D22">
        <w:rPr>
          <w:rFonts w:hint="eastAsia"/>
          <w:szCs w:val="21"/>
        </w:rPr>
        <w:t>级以上和</w:t>
      </w:r>
      <w:r w:rsidRPr="00800D22">
        <w:rPr>
          <w:rFonts w:hint="eastAsia"/>
          <w:szCs w:val="21"/>
        </w:rPr>
        <w:t>AA-</w:t>
      </w:r>
      <w:r w:rsidRPr="00800D22">
        <w:rPr>
          <w:rFonts w:hint="eastAsia"/>
          <w:szCs w:val="21"/>
        </w:rPr>
        <w:t>级以下的短</w:t>
      </w:r>
      <w:proofErr w:type="gramStart"/>
      <w:r w:rsidRPr="00800D22">
        <w:rPr>
          <w:rFonts w:hint="eastAsia"/>
          <w:szCs w:val="21"/>
        </w:rPr>
        <w:t>券</w:t>
      </w:r>
      <w:proofErr w:type="gramEnd"/>
      <w:r w:rsidRPr="00800D22">
        <w:rPr>
          <w:rFonts w:hint="eastAsia"/>
          <w:szCs w:val="21"/>
        </w:rPr>
        <w:t>市场流动性情况，市政分析结果显示，保险公司的投资能够增加发行额度为</w:t>
      </w:r>
      <w:r w:rsidRPr="00800D22">
        <w:rPr>
          <w:rFonts w:hint="eastAsia"/>
          <w:szCs w:val="21"/>
        </w:rPr>
        <w:t>10</w:t>
      </w:r>
      <w:r w:rsidRPr="00800D22">
        <w:rPr>
          <w:rFonts w:hint="eastAsia"/>
          <w:szCs w:val="21"/>
        </w:rPr>
        <w:t>亿元、主体级别为</w:t>
      </w:r>
      <w:r w:rsidRPr="00800D22">
        <w:rPr>
          <w:rFonts w:hint="eastAsia"/>
          <w:szCs w:val="21"/>
        </w:rPr>
        <w:t>AA-</w:t>
      </w:r>
      <w:r w:rsidRPr="00800D22">
        <w:rPr>
          <w:rFonts w:hint="eastAsia"/>
          <w:szCs w:val="21"/>
        </w:rPr>
        <w:t>级以上的短</w:t>
      </w:r>
      <w:proofErr w:type="gramStart"/>
      <w:r w:rsidRPr="00800D22">
        <w:rPr>
          <w:rFonts w:hint="eastAsia"/>
          <w:szCs w:val="21"/>
        </w:rPr>
        <w:t>券</w:t>
      </w:r>
      <w:proofErr w:type="gramEnd"/>
      <w:r w:rsidRPr="00800D22">
        <w:rPr>
          <w:rFonts w:hint="eastAsia"/>
          <w:szCs w:val="21"/>
        </w:rPr>
        <w:t>市场流动性水平，而发行额度为</w:t>
      </w:r>
      <w:r w:rsidRPr="00800D22">
        <w:rPr>
          <w:rFonts w:hint="eastAsia"/>
          <w:szCs w:val="21"/>
        </w:rPr>
        <w:t>10</w:t>
      </w:r>
      <w:r w:rsidRPr="00800D22">
        <w:rPr>
          <w:rFonts w:hint="eastAsia"/>
          <w:szCs w:val="21"/>
        </w:rPr>
        <w:t>亿元、主体级别为</w:t>
      </w:r>
      <w:r w:rsidRPr="00800D22">
        <w:rPr>
          <w:rFonts w:hint="eastAsia"/>
          <w:szCs w:val="21"/>
        </w:rPr>
        <w:t>AA-</w:t>
      </w:r>
      <w:r w:rsidRPr="00800D22">
        <w:rPr>
          <w:rFonts w:hint="eastAsia"/>
          <w:szCs w:val="21"/>
        </w:rPr>
        <w:t>级以下的短</w:t>
      </w:r>
      <w:proofErr w:type="gramStart"/>
      <w:r w:rsidRPr="00800D22">
        <w:rPr>
          <w:rFonts w:hint="eastAsia"/>
          <w:szCs w:val="21"/>
        </w:rPr>
        <w:t>券</w:t>
      </w:r>
      <w:proofErr w:type="gramEnd"/>
      <w:r w:rsidRPr="00800D22">
        <w:rPr>
          <w:rFonts w:hint="eastAsia"/>
          <w:szCs w:val="21"/>
        </w:rPr>
        <w:t>由于缺少保险公司这一机构投资者，市场流动性受到一定程度的约束。</w:t>
      </w:r>
    </w:p>
    <w:p w14:paraId="30900B75" w14:textId="77777777" w:rsidR="00307F5A" w:rsidRPr="00800D22" w:rsidRDefault="00307F5A" w:rsidP="00307F5A">
      <w:pPr>
        <w:spacing w:line="440" w:lineRule="exact"/>
        <w:ind w:firstLineChars="200" w:firstLine="420"/>
        <w:rPr>
          <w:rFonts w:ascii="宋体" w:hAnsi="宋体"/>
          <w:sz w:val="24"/>
        </w:rPr>
      </w:pPr>
      <w:r w:rsidRPr="00800D22">
        <w:rPr>
          <w:rFonts w:hint="eastAsia"/>
          <w:szCs w:val="21"/>
        </w:rPr>
        <w:t>投资者结构单一，很可能使得投资者的交易动机和交易方向在很大程度上具有一致性，对利率走势的判断亦基本一致。这样，不管市场利率水平未来是上升还是下降，一旦这些金融机构的预期大体一致，都会争相增</w:t>
      </w:r>
      <w:proofErr w:type="gramStart"/>
      <w:r w:rsidRPr="00800D22">
        <w:rPr>
          <w:rFonts w:hint="eastAsia"/>
          <w:szCs w:val="21"/>
        </w:rPr>
        <w:t>持或者减</w:t>
      </w:r>
      <w:proofErr w:type="gramEnd"/>
      <w:r w:rsidRPr="00800D22">
        <w:rPr>
          <w:rFonts w:hint="eastAsia"/>
          <w:szCs w:val="21"/>
        </w:rPr>
        <w:t>持，最终很可能导致市场交易活跃程度下降、市场成交量锐减、二级市场流动性突然消失，甚至出现有行无市的局面。而投资者结构多元化的债券市场可以有效的克服投资者结构单一所带来的债券买卖方向一致的缺陷，能够在一定程度上提高债券市场的流动性水平。在短</w:t>
      </w:r>
      <w:proofErr w:type="gramStart"/>
      <w:r w:rsidRPr="00800D22">
        <w:rPr>
          <w:rFonts w:hint="eastAsia"/>
          <w:szCs w:val="21"/>
        </w:rPr>
        <w:t>券</w:t>
      </w:r>
      <w:proofErr w:type="gramEnd"/>
      <w:r w:rsidRPr="00800D22">
        <w:rPr>
          <w:rFonts w:hint="eastAsia"/>
          <w:szCs w:val="21"/>
        </w:rPr>
        <w:t>市场上，主体级别为</w:t>
      </w:r>
      <w:r w:rsidRPr="00800D22">
        <w:rPr>
          <w:rFonts w:hint="eastAsia"/>
          <w:szCs w:val="21"/>
        </w:rPr>
        <w:t>AA-</w:t>
      </w:r>
      <w:r w:rsidRPr="00800D22">
        <w:rPr>
          <w:rFonts w:hint="eastAsia"/>
          <w:szCs w:val="21"/>
        </w:rPr>
        <w:t>以上的短</w:t>
      </w:r>
      <w:proofErr w:type="gramStart"/>
      <w:r w:rsidRPr="00800D22">
        <w:rPr>
          <w:rFonts w:hint="eastAsia"/>
          <w:szCs w:val="21"/>
        </w:rPr>
        <w:t>券</w:t>
      </w:r>
      <w:proofErr w:type="gramEnd"/>
      <w:r w:rsidRPr="00800D22">
        <w:rPr>
          <w:rFonts w:hint="eastAsia"/>
          <w:szCs w:val="21"/>
        </w:rPr>
        <w:t>相比</w:t>
      </w:r>
      <w:r w:rsidRPr="00800D22">
        <w:rPr>
          <w:rFonts w:hint="eastAsia"/>
          <w:szCs w:val="21"/>
        </w:rPr>
        <w:t>AA-</w:t>
      </w:r>
      <w:r w:rsidRPr="00800D22">
        <w:rPr>
          <w:rFonts w:hint="eastAsia"/>
          <w:szCs w:val="21"/>
        </w:rPr>
        <w:t>以下的短</w:t>
      </w:r>
      <w:proofErr w:type="gramStart"/>
      <w:r w:rsidRPr="00800D22">
        <w:rPr>
          <w:rFonts w:hint="eastAsia"/>
          <w:szCs w:val="21"/>
        </w:rPr>
        <w:t>券</w:t>
      </w:r>
      <w:proofErr w:type="gramEnd"/>
      <w:r w:rsidRPr="00800D22">
        <w:rPr>
          <w:rFonts w:hint="eastAsia"/>
          <w:szCs w:val="21"/>
        </w:rPr>
        <w:t>多了保险公司这一机构投资者，尽管保险公司</w:t>
      </w:r>
      <w:r w:rsidRPr="00800D22">
        <w:rPr>
          <w:rFonts w:ascii="宋体" w:hAnsi="宋体" w:hint="eastAsia"/>
          <w:szCs w:val="21"/>
        </w:rPr>
        <w:t>在资产安全性、收益性等投资目标上与商业银行、信用社等机构投资者较为一致，但在投资对象和监管制度方面与商业银行、信用社等机构投资者存在较大的差异。投资对象和监管制度上的差异使得保险公司与商业银行、信用社等机构投资者在交易价格上的买卖方向和交易数量上存在差异，进而促进了主体级别为AA-的短</w:t>
      </w:r>
      <w:proofErr w:type="gramStart"/>
      <w:r w:rsidRPr="00800D22">
        <w:rPr>
          <w:rFonts w:ascii="宋体" w:hAnsi="宋体" w:hint="eastAsia"/>
          <w:szCs w:val="21"/>
        </w:rPr>
        <w:t>券</w:t>
      </w:r>
      <w:proofErr w:type="gramEnd"/>
      <w:r w:rsidRPr="00800D22">
        <w:rPr>
          <w:rFonts w:ascii="宋体" w:hAnsi="宋体" w:hint="eastAsia"/>
          <w:szCs w:val="21"/>
        </w:rPr>
        <w:t>市场流动性水平。</w:t>
      </w:r>
    </w:p>
    <w:p w14:paraId="6B63F819" w14:textId="77777777" w:rsidR="00F900CB" w:rsidRPr="00307F5A" w:rsidRDefault="00F900CB"/>
    <w:sectPr w:rsidR="00F900CB" w:rsidRPr="00307F5A" w:rsidSect="00F900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
    <w:altName w:val="Times New Roman"/>
    <w:panose1 w:val="00000000000000000000"/>
    <w:charset w:val="00"/>
    <w:family w:val="roman"/>
    <w:notTrueType/>
    <w:pitch w:val="default"/>
  </w:font>
  <w:font w:name="仿宋_GB2312">
    <w:altName w:val="微软雅黑"/>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307F5A"/>
    <w:rsid w:val="00307F5A"/>
    <w:rsid w:val="00541907"/>
    <w:rsid w:val="00D97882"/>
    <w:rsid w:val="00E939DC"/>
    <w:rsid w:val="00F90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4:docId w14:val="1DC205D8"/>
  <w15:chartTrackingRefBased/>
  <w15:docId w15:val="{59EF5DDE-3460-497C-852D-04EDEF23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7F5A"/>
    <w:pPr>
      <w:widowControl w:val="0"/>
      <w:spacing w:line="240" w:lineRule="auto"/>
    </w:pPr>
    <w:rPr>
      <w:rFonts w:ascii="Times New Roman" w:eastAsia="宋体" w:hAnsi="Times New Roman" w:cs="Times New Roman"/>
      <w:szCs w:val="24"/>
    </w:rPr>
  </w:style>
  <w:style w:type="paragraph" w:styleId="1">
    <w:name w:val="heading 1"/>
    <w:basedOn w:val="a"/>
    <w:next w:val="a"/>
    <w:link w:val="10"/>
    <w:uiPriority w:val="9"/>
    <w:qFormat/>
    <w:rsid w:val="00307F5A"/>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307F5A"/>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307F5A"/>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rsid w:val="00307F5A"/>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rsid w:val="00307F5A"/>
    <w:pPr>
      <w:keepNext/>
      <w:keepLines/>
      <w:spacing w:before="80" w:after="40"/>
      <w:outlineLvl w:val="4"/>
    </w:pPr>
    <w:rPr>
      <w:rFonts w:cstheme="majorBidi"/>
      <w:color w:val="365F91" w:themeColor="accent1" w:themeShade="BF"/>
      <w:sz w:val="24"/>
    </w:rPr>
  </w:style>
  <w:style w:type="paragraph" w:styleId="6">
    <w:name w:val="heading 6"/>
    <w:basedOn w:val="a"/>
    <w:next w:val="a"/>
    <w:link w:val="60"/>
    <w:uiPriority w:val="9"/>
    <w:semiHidden/>
    <w:unhideWhenUsed/>
    <w:qFormat/>
    <w:rsid w:val="00307F5A"/>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rsid w:val="00307F5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7F5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07F5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7F5A"/>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rsid w:val="00307F5A"/>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rsid w:val="00307F5A"/>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rsid w:val="00307F5A"/>
    <w:rPr>
      <w:rFonts w:cstheme="majorBidi"/>
      <w:color w:val="365F91" w:themeColor="accent1" w:themeShade="BF"/>
      <w:sz w:val="28"/>
      <w:szCs w:val="28"/>
    </w:rPr>
  </w:style>
  <w:style w:type="character" w:customStyle="1" w:styleId="50">
    <w:name w:val="标题 5 字符"/>
    <w:basedOn w:val="a0"/>
    <w:link w:val="5"/>
    <w:uiPriority w:val="9"/>
    <w:semiHidden/>
    <w:rsid w:val="00307F5A"/>
    <w:rPr>
      <w:rFonts w:cstheme="majorBidi"/>
      <w:color w:val="365F91" w:themeColor="accent1" w:themeShade="BF"/>
      <w:sz w:val="24"/>
      <w:szCs w:val="24"/>
    </w:rPr>
  </w:style>
  <w:style w:type="character" w:customStyle="1" w:styleId="60">
    <w:name w:val="标题 6 字符"/>
    <w:basedOn w:val="a0"/>
    <w:link w:val="6"/>
    <w:uiPriority w:val="9"/>
    <w:semiHidden/>
    <w:rsid w:val="00307F5A"/>
    <w:rPr>
      <w:rFonts w:cstheme="majorBidi"/>
      <w:b/>
      <w:bCs/>
      <w:color w:val="365F91" w:themeColor="accent1" w:themeShade="BF"/>
    </w:rPr>
  </w:style>
  <w:style w:type="character" w:customStyle="1" w:styleId="70">
    <w:name w:val="标题 7 字符"/>
    <w:basedOn w:val="a0"/>
    <w:link w:val="7"/>
    <w:uiPriority w:val="9"/>
    <w:semiHidden/>
    <w:rsid w:val="00307F5A"/>
    <w:rPr>
      <w:rFonts w:cstheme="majorBidi"/>
      <w:b/>
      <w:bCs/>
      <w:color w:val="595959" w:themeColor="text1" w:themeTint="A6"/>
    </w:rPr>
  </w:style>
  <w:style w:type="character" w:customStyle="1" w:styleId="80">
    <w:name w:val="标题 8 字符"/>
    <w:basedOn w:val="a0"/>
    <w:link w:val="8"/>
    <w:uiPriority w:val="9"/>
    <w:semiHidden/>
    <w:rsid w:val="00307F5A"/>
    <w:rPr>
      <w:rFonts w:cstheme="majorBidi"/>
      <w:color w:val="595959" w:themeColor="text1" w:themeTint="A6"/>
    </w:rPr>
  </w:style>
  <w:style w:type="character" w:customStyle="1" w:styleId="90">
    <w:name w:val="标题 9 字符"/>
    <w:basedOn w:val="a0"/>
    <w:link w:val="9"/>
    <w:uiPriority w:val="9"/>
    <w:semiHidden/>
    <w:rsid w:val="00307F5A"/>
    <w:rPr>
      <w:rFonts w:eastAsiaTheme="majorEastAsia" w:cstheme="majorBidi"/>
      <w:color w:val="595959" w:themeColor="text1" w:themeTint="A6"/>
    </w:rPr>
  </w:style>
  <w:style w:type="paragraph" w:styleId="a3">
    <w:name w:val="Title"/>
    <w:basedOn w:val="a"/>
    <w:next w:val="a"/>
    <w:link w:val="a4"/>
    <w:uiPriority w:val="10"/>
    <w:qFormat/>
    <w:rsid w:val="00307F5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7F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7F5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7F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7F5A"/>
    <w:pPr>
      <w:spacing w:before="160" w:after="160"/>
      <w:jc w:val="center"/>
    </w:pPr>
    <w:rPr>
      <w:i/>
      <w:iCs/>
      <w:color w:val="404040" w:themeColor="text1" w:themeTint="BF"/>
    </w:rPr>
  </w:style>
  <w:style w:type="character" w:customStyle="1" w:styleId="a8">
    <w:name w:val="引用 字符"/>
    <w:basedOn w:val="a0"/>
    <w:link w:val="a7"/>
    <w:uiPriority w:val="29"/>
    <w:rsid w:val="00307F5A"/>
    <w:rPr>
      <w:i/>
      <w:iCs/>
      <w:color w:val="404040" w:themeColor="text1" w:themeTint="BF"/>
    </w:rPr>
  </w:style>
  <w:style w:type="paragraph" w:styleId="a9">
    <w:name w:val="List Paragraph"/>
    <w:basedOn w:val="a"/>
    <w:uiPriority w:val="34"/>
    <w:qFormat/>
    <w:rsid w:val="00307F5A"/>
    <w:pPr>
      <w:ind w:left="720"/>
      <w:contextualSpacing/>
    </w:pPr>
  </w:style>
  <w:style w:type="character" w:styleId="aa">
    <w:name w:val="Intense Emphasis"/>
    <w:basedOn w:val="a0"/>
    <w:uiPriority w:val="21"/>
    <w:qFormat/>
    <w:rsid w:val="00307F5A"/>
    <w:rPr>
      <w:i/>
      <w:iCs/>
      <w:color w:val="365F91" w:themeColor="accent1" w:themeShade="BF"/>
    </w:rPr>
  </w:style>
  <w:style w:type="paragraph" w:styleId="ab">
    <w:name w:val="Intense Quote"/>
    <w:basedOn w:val="a"/>
    <w:next w:val="a"/>
    <w:link w:val="ac"/>
    <w:uiPriority w:val="30"/>
    <w:qFormat/>
    <w:rsid w:val="00307F5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明显引用 字符"/>
    <w:basedOn w:val="a0"/>
    <w:link w:val="ab"/>
    <w:uiPriority w:val="30"/>
    <w:rsid w:val="00307F5A"/>
    <w:rPr>
      <w:i/>
      <w:iCs/>
      <w:color w:val="365F91" w:themeColor="accent1" w:themeShade="BF"/>
    </w:rPr>
  </w:style>
  <w:style w:type="character" w:styleId="ad">
    <w:name w:val="Intense Reference"/>
    <w:basedOn w:val="a0"/>
    <w:uiPriority w:val="32"/>
    <w:qFormat/>
    <w:rsid w:val="00307F5A"/>
    <w:rPr>
      <w:b/>
      <w:bCs/>
      <w:smallCaps/>
      <w:color w:val="365F91" w:themeColor="accent1" w:themeShade="BF"/>
      <w:spacing w:val="5"/>
    </w:rPr>
  </w:style>
  <w:style w:type="paragraph" w:styleId="ae">
    <w:name w:val="caption"/>
    <w:basedOn w:val="a"/>
    <w:next w:val="a"/>
    <w:qFormat/>
    <w:rsid w:val="00307F5A"/>
    <w:rPr>
      <w:rFonts w:ascii="Arial" w:eastAsia="黑体"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13" Type="http://schemas.openxmlformats.org/officeDocument/2006/relationships/image" Target="media/image5.wmf"/><Relationship Id="rId18" Type="http://schemas.openxmlformats.org/officeDocument/2006/relationships/oleObject" Target="embeddings/oleObject8.bin"/><Relationship Id="rId26" Type="http://schemas.openxmlformats.org/officeDocument/2006/relationships/oleObject" Target="embeddings/oleObject12.bin"/><Relationship Id="rId3" Type="http://schemas.openxmlformats.org/officeDocument/2006/relationships/webSettings" Target="webSettings.xml"/><Relationship Id="rId21" Type="http://schemas.openxmlformats.org/officeDocument/2006/relationships/image" Target="media/image9.wmf"/><Relationship Id="rId34"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oleObject" Target="embeddings/oleObject5.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7.bin"/><Relationship Id="rId2" Type="http://schemas.openxmlformats.org/officeDocument/2006/relationships/settings" Target="settings.xml"/><Relationship Id="rId16" Type="http://schemas.openxmlformats.org/officeDocument/2006/relationships/oleObject" Target="embeddings/oleObject7.bin"/><Relationship Id="rId20" Type="http://schemas.openxmlformats.org/officeDocument/2006/relationships/oleObject" Target="embeddings/oleObject9.bin"/><Relationship Id="rId29" Type="http://schemas.openxmlformats.org/officeDocument/2006/relationships/image" Target="media/image13.wmf"/><Relationship Id="rId1" Type="http://schemas.openxmlformats.org/officeDocument/2006/relationships/styles" Target="styles.xml"/><Relationship Id="rId6" Type="http://schemas.openxmlformats.org/officeDocument/2006/relationships/oleObject" Target="embeddings/oleObject2.bin"/><Relationship Id="rId11" Type="http://schemas.openxmlformats.org/officeDocument/2006/relationships/image" Target="media/image4.wmf"/><Relationship Id="rId24" Type="http://schemas.openxmlformats.org/officeDocument/2006/relationships/oleObject" Target="embeddings/oleObject11.bin"/><Relationship Id="rId32" Type="http://schemas.openxmlformats.org/officeDocument/2006/relationships/oleObject" Target="embeddings/oleObject16.bin"/><Relationship Id="rId5"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3.bin"/><Relationship Id="rId10" Type="http://schemas.openxmlformats.org/officeDocument/2006/relationships/oleObject" Target="embeddings/oleObject4.bin"/><Relationship Id="rId19" Type="http://schemas.openxmlformats.org/officeDocument/2006/relationships/image" Target="media/image8.wmf"/><Relationship Id="rId31" Type="http://schemas.openxmlformats.org/officeDocument/2006/relationships/oleObject" Target="embeddings/oleObject15.bin"/><Relationship Id="rId4" Type="http://schemas.openxmlformats.org/officeDocument/2006/relationships/image" Target="media/image1.wmf"/><Relationship Id="rId9" Type="http://schemas.openxmlformats.org/officeDocument/2006/relationships/image" Target="media/image3.wmf"/><Relationship Id="rId14" Type="http://schemas.openxmlformats.org/officeDocument/2006/relationships/oleObject" Target="embeddings/oleObject6.bin"/><Relationship Id="rId22" Type="http://schemas.openxmlformats.org/officeDocument/2006/relationships/oleObject" Target="embeddings/oleObject10.bin"/><Relationship Id="rId27" Type="http://schemas.openxmlformats.org/officeDocument/2006/relationships/image" Target="media/image12.wmf"/><Relationship Id="rId30" Type="http://schemas.openxmlformats.org/officeDocument/2006/relationships/oleObject" Target="embeddings/oleObject14.bin"/><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1242</Words>
  <Characters>7083</Characters>
  <Application>Microsoft Office Word</Application>
  <DocSecurity>0</DocSecurity>
  <Lines>59</Lines>
  <Paragraphs>16</Paragraphs>
  <ScaleCrop>false</ScaleCrop>
  <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2025-10-21T07:20:00Z</dcterms:created>
  <dcterms:modified xsi:type="dcterms:W3CDTF">2025-10-21T10:06:00Z</dcterms:modified>
</cp:coreProperties>
</file>